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E9D14"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color w:val="000000" w:themeColor="text1"/>
          <w:spacing w:val="-6"/>
          <w:sz w:val="28"/>
          <w:szCs w:val="28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b/>
          <w:bCs/>
          <w:color w:val="000000" w:themeColor="text1"/>
          <w:spacing w:val="-6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附件：综合评审标准</w:t>
      </w:r>
      <w:bookmarkStart w:id="0" w:name="_GoBack"/>
      <w:bookmarkEnd w:id="0"/>
    </w:p>
    <w:tbl>
      <w:tblPr>
        <w:tblStyle w:val="4"/>
        <w:tblW w:w="99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748"/>
      </w:tblGrid>
      <w:tr w14:paraId="542A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C6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78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评分标准</w:t>
            </w:r>
          </w:p>
        </w:tc>
      </w:tr>
      <w:tr w14:paraId="1B1D7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AE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F6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D1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0。</w:t>
            </w:r>
          </w:p>
        </w:tc>
      </w:tr>
      <w:tr w14:paraId="23F7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77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87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30分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67F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21-30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437A9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11-20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32429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项目实施方案内容缺漏或针对性不足或不能满足项目需求的得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2E382F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无项目实施方案的得0分。</w:t>
            </w:r>
          </w:p>
        </w:tc>
      </w:tr>
      <w:tr w14:paraId="3591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5F7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工期承诺及保证措施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29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7B3C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（1）工期承诺满足磋商文件要求且保证措施详细可行，且有具体的违约责任承诺和施工进度计划，针对性强，并能保证工期的得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分；</w:t>
            </w:r>
          </w:p>
          <w:p w14:paraId="777CF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（2）工期承诺满足磋商文件要求且保证措施可行，且有违约责任承诺和施工进度计划，针对性一般，并能保证工期的得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分；</w:t>
            </w:r>
          </w:p>
          <w:p w14:paraId="52DD9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（3）工期承诺及保证措施满足竞争性磋商文件要求，针对性差，或有错误（如：与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工期相矛盾等）或有缺项的得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分；</w:t>
            </w:r>
          </w:p>
          <w:p w14:paraId="6BA81E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eastAsia="等线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（4） 无工期承诺及保证措施的不得分。</w:t>
            </w:r>
          </w:p>
        </w:tc>
      </w:tr>
      <w:tr w14:paraId="1DA8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2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质量承诺及保证措施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87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D8C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3E18E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5346C0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 w14:paraId="1D60D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 w14:paraId="25865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617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安全文明施工保证措施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5F8E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74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1.安全文明施工保证措施（满分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分）</w:t>
            </w:r>
          </w:p>
          <w:p w14:paraId="24F50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供应商针对本项目提供完善的安全文明施工保证措施，措施内容包含但不限于①防火、②安全用电、③材料堆放、④垃圾清运、⑤场容场貌，⑥安全警示、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⑦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防尘降噪等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项内容，</w:t>
            </w:r>
          </w:p>
          <w:p w14:paraId="03A10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上述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项内容，每项内容1分。</w:t>
            </w:r>
          </w:p>
          <w:p w14:paraId="21499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（1）措施科学、合理、详细且有针对性的，每项得1分。</w:t>
            </w:r>
          </w:p>
          <w:p w14:paraId="2D55C1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（2）措施科学性、合理性、针对性有欠缺，不全面的，每项得0.5分。</w:t>
            </w:r>
          </w:p>
          <w:p w14:paraId="79E36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（3）未提供或提供内容存在重大偏差或与本项目不符的每项得0分。</w:t>
            </w:r>
          </w:p>
          <w:p w14:paraId="5DFA4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2.违约责任承诺（满分3分）</w:t>
            </w:r>
          </w:p>
          <w:p w14:paraId="7D6100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违约责任承诺详细全面、合理具体的得3分；违约责任承诺基本全面，较合理具体的得2分；违约责任承诺粗略宽泛、缺乏合理性或不够具体的得1分；无相关违约责任的得0分。</w:t>
            </w:r>
          </w:p>
        </w:tc>
      </w:tr>
      <w:tr w14:paraId="2EB77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FC4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服务方案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BB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C27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2B3AE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7D2EE2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 w14:paraId="2858C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 w14:paraId="3C285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27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E7E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69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类似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</w:tc>
      </w:tr>
    </w:tbl>
    <w:p w14:paraId="595A5AEB"/>
    <w:p w14:paraId="258E5FF8"/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B3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widowControl/>
      <w:spacing w:after="240" w:line="360" w:lineRule="auto"/>
      <w:jc w:val="center"/>
    </w:pPr>
    <w:rPr>
      <w:rFonts w:ascii="Arial" w:hAnsi="Arial"/>
      <w:b/>
      <w:smallCaps/>
      <w:kern w:val="28"/>
      <w:sz w:val="36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2025-12-11T02:50:58Z</dcterms:created>
  <dc:creator>Lenovo</dc:creator>
  <cp:lastModifiedBy>陈静</cp:lastModifiedBy>
  <dcterms:modified xsi:type="dcterms:W3CDTF">2025-12-11T02:51:36Z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eyJoZGlkIjoiYTg1MDgzYzI2ZDM2MzkxMWNiYzlmNzM5MDg4MzMwN2QiLCJ1c2VySWQiOiIxNjAzODE4NDI2In0=</vt:lpwstr>
  </property>
  <property fmtid="{D5CDD505-2E9C-101B-9397-08002B2CF9AE}" pid="4" name="ICV">
    <vt:lpwstr>7EFBBFF82910493A9703B28DC29EA1E1_12</vt:lpwstr>
  </property>
</Properties>
</file>