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459B544">
      <w:pPr>
        <w:ind w:firstLine="0" w:firstLineChars="0"/>
        <w:rPr>
          <w:rFonts w:hint="eastAsia" w:ascii="黑体" w:hAnsi="黑体" w:eastAsia="黑体"/>
          <w:color w:val="auto"/>
          <w:sz w:val="30"/>
          <w:szCs w:val="30"/>
        </w:rPr>
      </w:pPr>
      <w:r>
        <w:rPr>
          <w:rFonts w:hint="eastAsia" w:ascii="黑体" w:hAnsi="黑体" w:eastAsia="黑体"/>
          <w:color w:val="auto"/>
          <w:sz w:val="30"/>
          <w:szCs w:val="30"/>
        </w:rPr>
        <w:t>附件1</w:t>
      </w:r>
    </w:p>
    <w:p w14:paraId="308BE552">
      <w:pPr>
        <w:ind w:firstLine="0" w:firstLineChars="0"/>
        <w:rPr>
          <w:rFonts w:hint="eastAsia" w:ascii="黑体" w:hAnsi="黑体" w:eastAsia="黑体"/>
          <w:color w:val="auto"/>
          <w:sz w:val="30"/>
          <w:szCs w:val="30"/>
        </w:rPr>
      </w:pPr>
    </w:p>
    <w:p w14:paraId="01E938C2">
      <w:pPr>
        <w:ind w:firstLine="0" w:firstLineChars="0"/>
        <w:rPr>
          <w:rFonts w:hint="eastAsia" w:ascii="黑体" w:hAnsi="黑体" w:eastAsia="黑体"/>
          <w:color w:val="auto"/>
          <w:sz w:val="30"/>
          <w:szCs w:val="30"/>
        </w:rPr>
      </w:pPr>
    </w:p>
    <w:p w14:paraId="6B332644">
      <w:pPr>
        <w:ind w:firstLine="0" w:firstLineChars="0"/>
        <w:jc w:val="center"/>
        <w:outlineLvl w:val="0"/>
        <w:rPr>
          <w:rFonts w:hint="eastAsia" w:ascii="方正小标宋简体" w:hAnsi="宋体" w:eastAsia="方正小标宋简体" w:cs="宋体"/>
          <w:color w:val="auto"/>
          <w:sz w:val="40"/>
          <w:szCs w:val="40"/>
        </w:rPr>
      </w:pPr>
      <w:r>
        <w:rPr>
          <w:rFonts w:hint="eastAsia" w:ascii="方正小标宋简体" w:hAnsi="宋体" w:eastAsia="方正小标宋简体" w:cs="宋体"/>
          <w:color w:val="auto"/>
          <w:sz w:val="40"/>
          <w:szCs w:val="40"/>
        </w:rPr>
        <w:t>云南师范大学附属世纪金源学校</w:t>
      </w:r>
      <w:r>
        <w:rPr>
          <w:rFonts w:ascii="方正小标宋简体" w:hAnsi="方正小标宋简体" w:eastAsia="方正小标宋简体" w:cs="方正小标宋简体"/>
          <w:color w:val="auto"/>
          <w:sz w:val="40"/>
        </w:rPr>
        <w:t>202</w:t>
      </w:r>
      <w:r>
        <w:rPr>
          <w:rFonts w:ascii="方正小标宋简体" w:hAnsi="宋体" w:eastAsia="方正小标宋简体" w:cs="宋体"/>
          <w:color w:val="auto"/>
          <w:sz w:val="40"/>
          <w:szCs w:val="40"/>
          <w:lang w:val="en"/>
        </w:rPr>
        <w:t>6</w:t>
      </w:r>
      <w:r>
        <w:rPr>
          <w:rFonts w:hint="eastAsia" w:ascii="方正小标宋简体" w:hAnsi="宋体" w:eastAsia="方正小标宋简体" w:cs="宋体"/>
          <w:color w:val="auto"/>
          <w:sz w:val="40"/>
          <w:szCs w:val="40"/>
        </w:rPr>
        <w:t>年预算公开目录</w:t>
      </w:r>
    </w:p>
    <w:p w14:paraId="244FFCF6">
      <w:pPr>
        <w:rPr>
          <w:color w:val="auto"/>
        </w:rPr>
      </w:pPr>
    </w:p>
    <w:p w14:paraId="2BA83652">
      <w:pPr>
        <w:outlineLvl w:val="0"/>
        <w:rPr>
          <w:rFonts w:hint="eastAsia" w:ascii="黑体" w:hAnsi="黑体" w:eastAsia="黑体"/>
          <w:color w:val="auto"/>
        </w:rPr>
      </w:pPr>
      <w:r>
        <w:rPr>
          <w:rFonts w:hint="eastAsia" w:ascii="黑体" w:hAnsi="黑体" w:eastAsia="黑体"/>
          <w:color w:val="auto"/>
        </w:rPr>
        <w:t xml:space="preserve">第一部分 </w:t>
      </w:r>
      <w:r>
        <w:rPr>
          <w:rFonts w:ascii="黑体" w:hAnsi="黑体" w:eastAsia="黑体"/>
          <w:color w:val="auto"/>
        </w:rPr>
        <w:t>云南师范大学附属世纪金源学校202</w:t>
      </w:r>
      <w:r>
        <w:rPr>
          <w:rFonts w:ascii="黑体" w:hAnsi="黑体" w:eastAsia="黑体"/>
          <w:color w:val="auto"/>
          <w:lang w:val="en"/>
        </w:rPr>
        <w:t>6</w:t>
      </w:r>
      <w:r>
        <w:rPr>
          <w:rFonts w:hint="eastAsia" w:ascii="黑体" w:hAnsi="黑体" w:eastAsia="黑体"/>
          <w:color w:val="auto"/>
        </w:rPr>
        <w:t>年部门预算编制说明</w:t>
      </w:r>
    </w:p>
    <w:p w14:paraId="6F38B02B">
      <w:pPr>
        <w:spacing w:line="590" w:lineRule="exact"/>
        <w:ind w:firstLine="600"/>
        <w:outlineLvl w:val="1"/>
        <w:rPr>
          <w:color w:val="auto"/>
          <w:sz w:val="30"/>
          <w:szCs w:val="30"/>
        </w:rPr>
      </w:pPr>
      <w:r>
        <w:rPr>
          <w:rFonts w:hint="eastAsia"/>
          <w:color w:val="auto"/>
          <w:sz w:val="30"/>
          <w:szCs w:val="30"/>
          <w:lang w:bidi="ar"/>
        </w:rPr>
        <w:t>一、基本职能及主要工作</w:t>
      </w:r>
    </w:p>
    <w:p w14:paraId="6CCB4D4A">
      <w:pPr>
        <w:spacing w:line="590" w:lineRule="exact"/>
        <w:ind w:firstLine="600"/>
        <w:outlineLvl w:val="1"/>
        <w:rPr>
          <w:color w:val="auto"/>
          <w:sz w:val="30"/>
          <w:szCs w:val="30"/>
        </w:rPr>
      </w:pPr>
      <w:r>
        <w:rPr>
          <w:rFonts w:hint="eastAsia"/>
          <w:color w:val="auto"/>
          <w:sz w:val="30"/>
          <w:szCs w:val="30"/>
          <w:lang w:bidi="ar"/>
        </w:rPr>
        <w:t>二、预算单位基本情况</w:t>
      </w:r>
    </w:p>
    <w:p w14:paraId="4E6110D5">
      <w:pPr>
        <w:spacing w:line="590" w:lineRule="exact"/>
        <w:ind w:firstLine="600"/>
        <w:outlineLvl w:val="1"/>
        <w:rPr>
          <w:color w:val="auto"/>
          <w:sz w:val="30"/>
          <w:szCs w:val="30"/>
        </w:rPr>
      </w:pPr>
      <w:r>
        <w:rPr>
          <w:rFonts w:hint="eastAsia"/>
          <w:color w:val="auto"/>
          <w:sz w:val="30"/>
          <w:szCs w:val="30"/>
          <w:lang w:bidi="ar"/>
        </w:rPr>
        <w:t>三、预算单位收入情况</w:t>
      </w:r>
    </w:p>
    <w:p w14:paraId="7CCFAC71">
      <w:pPr>
        <w:spacing w:line="590" w:lineRule="exact"/>
        <w:ind w:firstLine="600"/>
        <w:outlineLvl w:val="1"/>
        <w:rPr>
          <w:color w:val="auto"/>
          <w:sz w:val="30"/>
          <w:szCs w:val="30"/>
        </w:rPr>
      </w:pPr>
      <w:r>
        <w:rPr>
          <w:rFonts w:hint="eastAsia"/>
          <w:color w:val="auto"/>
          <w:sz w:val="30"/>
          <w:szCs w:val="30"/>
          <w:lang w:bidi="ar"/>
        </w:rPr>
        <w:t>四、预算单位支出情况</w:t>
      </w:r>
    </w:p>
    <w:p w14:paraId="46176EED">
      <w:pPr>
        <w:spacing w:line="590" w:lineRule="exact"/>
        <w:ind w:firstLine="600"/>
        <w:outlineLvl w:val="1"/>
        <w:rPr>
          <w:color w:val="auto"/>
          <w:sz w:val="30"/>
          <w:szCs w:val="30"/>
        </w:rPr>
      </w:pPr>
      <w:r>
        <w:rPr>
          <w:rFonts w:hint="eastAsia"/>
          <w:color w:val="auto"/>
          <w:sz w:val="30"/>
          <w:szCs w:val="30"/>
          <w:lang w:bidi="ar"/>
        </w:rPr>
        <w:t>五、省对下专项转移支付情况</w:t>
      </w:r>
    </w:p>
    <w:p w14:paraId="0C0747F4">
      <w:pPr>
        <w:spacing w:line="590" w:lineRule="exact"/>
        <w:ind w:firstLine="600"/>
        <w:outlineLvl w:val="1"/>
        <w:rPr>
          <w:color w:val="auto"/>
          <w:sz w:val="30"/>
          <w:szCs w:val="30"/>
        </w:rPr>
      </w:pPr>
      <w:r>
        <w:rPr>
          <w:rFonts w:hint="eastAsia"/>
          <w:color w:val="auto"/>
          <w:sz w:val="30"/>
          <w:szCs w:val="30"/>
          <w:lang w:bidi="ar"/>
        </w:rPr>
        <w:t>六、政府采购预算情况</w:t>
      </w:r>
    </w:p>
    <w:p w14:paraId="0E60048E">
      <w:pPr>
        <w:spacing w:line="590" w:lineRule="exact"/>
        <w:ind w:firstLine="600"/>
        <w:outlineLvl w:val="1"/>
        <w:rPr>
          <w:color w:val="auto"/>
          <w:sz w:val="30"/>
          <w:szCs w:val="30"/>
        </w:rPr>
      </w:pPr>
      <w:r>
        <w:rPr>
          <w:rFonts w:hint="eastAsia"/>
          <w:color w:val="auto"/>
          <w:sz w:val="30"/>
          <w:szCs w:val="30"/>
          <w:lang w:bidi="ar"/>
        </w:rPr>
        <w:t>七、部门“三公”经费增减变化情况及原因说明</w:t>
      </w:r>
    </w:p>
    <w:p w14:paraId="149B75CF">
      <w:pPr>
        <w:spacing w:line="590" w:lineRule="exact"/>
        <w:ind w:firstLine="600"/>
        <w:outlineLvl w:val="1"/>
        <w:rPr>
          <w:color w:val="auto"/>
          <w:sz w:val="30"/>
          <w:szCs w:val="30"/>
        </w:rPr>
      </w:pPr>
      <w:r>
        <w:rPr>
          <w:rFonts w:hint="eastAsia"/>
          <w:color w:val="auto"/>
          <w:sz w:val="30"/>
          <w:szCs w:val="30"/>
          <w:lang w:bidi="ar"/>
        </w:rPr>
        <w:t>八、重点项目预算绩效目标情况</w:t>
      </w:r>
    </w:p>
    <w:p w14:paraId="2B033ED9">
      <w:pPr>
        <w:spacing w:line="590" w:lineRule="exact"/>
        <w:ind w:firstLine="600"/>
        <w:outlineLvl w:val="1"/>
        <w:rPr>
          <w:rFonts w:hint="eastAsia" w:ascii="黑体" w:hAnsi="宋体" w:eastAsia="黑体" w:cs="黑体"/>
          <w:color w:val="auto"/>
          <w:sz w:val="30"/>
          <w:szCs w:val="30"/>
        </w:rPr>
      </w:pPr>
      <w:r>
        <w:rPr>
          <w:rFonts w:hint="eastAsia"/>
          <w:color w:val="auto"/>
          <w:sz w:val="30"/>
          <w:szCs w:val="30"/>
          <w:lang w:bidi="ar"/>
        </w:rPr>
        <w:t>九、其他公开信息</w:t>
      </w:r>
    </w:p>
    <w:p w14:paraId="368ECA99">
      <w:pPr>
        <w:outlineLvl w:val="0"/>
        <w:rPr>
          <w:rFonts w:hint="eastAsia" w:ascii="黑体" w:hAnsi="黑体" w:eastAsia="黑体"/>
          <w:color w:val="auto"/>
        </w:rPr>
      </w:pPr>
      <w:r>
        <w:rPr>
          <w:rFonts w:hint="eastAsia" w:ascii="黑体" w:hAnsi="黑体" w:eastAsia="黑体"/>
          <w:color w:val="auto"/>
        </w:rPr>
        <w:t xml:space="preserve">第二部分 </w:t>
      </w:r>
      <w:r>
        <w:rPr>
          <w:rFonts w:ascii="黑体" w:hAnsi="黑体" w:eastAsia="黑体"/>
          <w:color w:val="auto"/>
        </w:rPr>
        <w:t>云南师范大学附属世纪金源学校202</w:t>
      </w:r>
      <w:r>
        <w:rPr>
          <w:rFonts w:ascii="黑体" w:hAnsi="黑体" w:eastAsia="黑体"/>
          <w:color w:val="auto"/>
          <w:lang w:val="en"/>
        </w:rPr>
        <w:t>6</w:t>
      </w:r>
      <w:r>
        <w:rPr>
          <w:rFonts w:hint="eastAsia" w:ascii="黑体" w:hAnsi="黑体" w:eastAsia="黑体"/>
          <w:color w:val="auto"/>
        </w:rPr>
        <w:t>年部门预算表</w:t>
      </w:r>
    </w:p>
    <w:p w14:paraId="1EFF192A">
      <w:pPr>
        <w:spacing w:line="590" w:lineRule="exact"/>
        <w:ind w:firstLine="600"/>
        <w:outlineLvl w:val="1"/>
        <w:rPr>
          <w:rFonts w:cs="Times New Roman"/>
          <w:color w:val="auto"/>
          <w:sz w:val="30"/>
          <w:szCs w:val="30"/>
        </w:rPr>
      </w:pPr>
      <w:r>
        <w:rPr>
          <w:rFonts w:hint="eastAsia"/>
          <w:color w:val="auto"/>
          <w:sz w:val="30"/>
          <w:szCs w:val="30"/>
          <w:lang w:bidi="ar"/>
        </w:rPr>
        <w:t>一、部门财务收支预算总表</w:t>
      </w:r>
    </w:p>
    <w:p w14:paraId="3B7521F8">
      <w:pPr>
        <w:spacing w:line="590" w:lineRule="exact"/>
        <w:ind w:firstLine="600"/>
        <w:outlineLvl w:val="1"/>
        <w:rPr>
          <w:color w:val="auto"/>
          <w:sz w:val="30"/>
          <w:szCs w:val="30"/>
        </w:rPr>
      </w:pPr>
      <w:r>
        <w:rPr>
          <w:rFonts w:hint="eastAsia"/>
          <w:color w:val="auto"/>
          <w:sz w:val="30"/>
          <w:szCs w:val="30"/>
          <w:lang w:bidi="ar"/>
        </w:rPr>
        <w:t>二、部门收入预算表</w:t>
      </w:r>
    </w:p>
    <w:p w14:paraId="17A50C66">
      <w:pPr>
        <w:spacing w:line="590" w:lineRule="exact"/>
        <w:ind w:firstLine="600"/>
        <w:outlineLvl w:val="1"/>
        <w:rPr>
          <w:color w:val="auto"/>
          <w:sz w:val="30"/>
          <w:szCs w:val="30"/>
        </w:rPr>
      </w:pPr>
      <w:r>
        <w:rPr>
          <w:rFonts w:hint="eastAsia"/>
          <w:color w:val="auto"/>
          <w:sz w:val="30"/>
          <w:szCs w:val="30"/>
          <w:lang w:bidi="ar"/>
        </w:rPr>
        <w:t>三、部门支出预算表</w:t>
      </w:r>
    </w:p>
    <w:p w14:paraId="31D96EB6">
      <w:pPr>
        <w:spacing w:line="590" w:lineRule="exact"/>
        <w:ind w:firstLine="600"/>
        <w:outlineLvl w:val="1"/>
        <w:rPr>
          <w:color w:val="auto"/>
          <w:sz w:val="30"/>
          <w:szCs w:val="30"/>
        </w:rPr>
      </w:pPr>
      <w:r>
        <w:rPr>
          <w:rFonts w:hint="eastAsia"/>
          <w:color w:val="auto"/>
          <w:sz w:val="30"/>
          <w:szCs w:val="30"/>
          <w:lang w:bidi="ar"/>
        </w:rPr>
        <w:t>四、部门财政拨款收支预算总表</w:t>
      </w:r>
    </w:p>
    <w:p w14:paraId="7D7904CB">
      <w:pPr>
        <w:spacing w:line="590" w:lineRule="exact"/>
        <w:ind w:firstLine="600"/>
        <w:outlineLvl w:val="1"/>
        <w:rPr>
          <w:color w:val="auto"/>
          <w:sz w:val="30"/>
          <w:szCs w:val="30"/>
        </w:rPr>
      </w:pPr>
      <w:r>
        <w:rPr>
          <w:rFonts w:hint="eastAsia"/>
          <w:color w:val="auto"/>
          <w:sz w:val="30"/>
          <w:szCs w:val="30"/>
          <w:lang w:bidi="ar"/>
        </w:rPr>
        <w:t>五、一般公共预算支出预算表（按功能科目分类）</w:t>
      </w:r>
    </w:p>
    <w:p w14:paraId="26B9E74B">
      <w:pPr>
        <w:spacing w:line="590" w:lineRule="exact"/>
        <w:ind w:firstLine="600"/>
        <w:outlineLvl w:val="1"/>
        <w:rPr>
          <w:color w:val="auto"/>
          <w:sz w:val="30"/>
          <w:szCs w:val="30"/>
          <w:lang w:bidi="ar"/>
        </w:rPr>
      </w:pPr>
      <w:r>
        <w:rPr>
          <w:rFonts w:hint="eastAsia"/>
          <w:color w:val="auto"/>
          <w:sz w:val="30"/>
          <w:szCs w:val="30"/>
          <w:lang w:bidi="ar"/>
        </w:rPr>
        <w:t>六、一般公共预算“三公”经费支出预算表</w:t>
      </w:r>
    </w:p>
    <w:p w14:paraId="44EAF25A">
      <w:pPr>
        <w:spacing w:line="590" w:lineRule="exact"/>
        <w:ind w:firstLine="600"/>
        <w:outlineLvl w:val="1"/>
        <w:rPr>
          <w:color w:val="auto"/>
          <w:sz w:val="30"/>
          <w:szCs w:val="30"/>
          <w:lang w:bidi="ar"/>
        </w:rPr>
      </w:pPr>
      <w:r>
        <w:rPr>
          <w:rFonts w:hint="eastAsia"/>
          <w:color w:val="auto"/>
          <w:sz w:val="30"/>
          <w:szCs w:val="30"/>
          <w:lang w:bidi="ar"/>
        </w:rPr>
        <w:t>七、部门基本支出预算表</w:t>
      </w:r>
    </w:p>
    <w:p w14:paraId="046032D4">
      <w:pPr>
        <w:spacing w:line="590" w:lineRule="exact"/>
        <w:ind w:firstLine="600"/>
        <w:outlineLvl w:val="1"/>
        <w:rPr>
          <w:color w:val="auto"/>
          <w:sz w:val="30"/>
          <w:szCs w:val="30"/>
          <w:lang w:bidi="ar"/>
        </w:rPr>
      </w:pPr>
      <w:r>
        <w:rPr>
          <w:rFonts w:hint="eastAsia"/>
          <w:color w:val="auto"/>
          <w:sz w:val="30"/>
          <w:szCs w:val="30"/>
          <w:lang w:bidi="ar"/>
        </w:rPr>
        <w:t>八、部门项目支出预算表</w:t>
      </w:r>
    </w:p>
    <w:p w14:paraId="798A911B">
      <w:pPr>
        <w:spacing w:line="590" w:lineRule="exact"/>
        <w:ind w:firstLine="600"/>
        <w:outlineLvl w:val="1"/>
        <w:rPr>
          <w:color w:val="auto"/>
          <w:sz w:val="30"/>
          <w:szCs w:val="30"/>
          <w:lang w:bidi="ar"/>
        </w:rPr>
      </w:pPr>
      <w:r>
        <w:rPr>
          <w:rFonts w:hint="eastAsia"/>
          <w:color w:val="auto"/>
          <w:sz w:val="30"/>
          <w:szCs w:val="30"/>
          <w:lang w:bidi="ar"/>
        </w:rPr>
        <w:t>九、部门项目支出绩效目标表</w:t>
      </w:r>
    </w:p>
    <w:p w14:paraId="53EDAB73">
      <w:pPr>
        <w:spacing w:line="590" w:lineRule="exact"/>
        <w:ind w:firstLine="600"/>
        <w:outlineLvl w:val="1"/>
        <w:rPr>
          <w:color w:val="auto"/>
          <w:sz w:val="30"/>
          <w:szCs w:val="30"/>
          <w:lang w:bidi="ar"/>
        </w:rPr>
      </w:pPr>
      <w:r>
        <w:rPr>
          <w:rFonts w:hint="eastAsia"/>
          <w:color w:val="auto"/>
          <w:sz w:val="30"/>
          <w:szCs w:val="30"/>
          <w:lang w:bidi="ar"/>
        </w:rPr>
        <w:t>十、部门政府性基金预算支出预算表</w:t>
      </w:r>
    </w:p>
    <w:p w14:paraId="5FD73151">
      <w:pPr>
        <w:spacing w:line="590" w:lineRule="exact"/>
        <w:ind w:firstLine="600"/>
        <w:outlineLvl w:val="1"/>
        <w:rPr>
          <w:color w:val="auto"/>
          <w:sz w:val="30"/>
          <w:szCs w:val="30"/>
          <w:lang w:bidi="ar"/>
        </w:rPr>
      </w:pPr>
      <w:r>
        <w:rPr>
          <w:rFonts w:hint="eastAsia"/>
          <w:color w:val="auto"/>
          <w:sz w:val="30"/>
          <w:szCs w:val="30"/>
          <w:lang w:bidi="ar"/>
        </w:rPr>
        <w:t>十一、部门政府采购预算表</w:t>
      </w:r>
    </w:p>
    <w:p w14:paraId="5D8BE8C2">
      <w:pPr>
        <w:spacing w:line="590" w:lineRule="exact"/>
        <w:ind w:firstLine="600"/>
        <w:outlineLvl w:val="1"/>
        <w:rPr>
          <w:color w:val="auto"/>
          <w:sz w:val="30"/>
          <w:szCs w:val="30"/>
          <w:lang w:bidi="ar"/>
        </w:rPr>
      </w:pPr>
      <w:r>
        <w:rPr>
          <w:rFonts w:hint="eastAsia"/>
          <w:color w:val="auto"/>
          <w:sz w:val="30"/>
          <w:szCs w:val="30"/>
          <w:lang w:bidi="ar"/>
        </w:rPr>
        <w:t>十二、部门政府购买服务预算表</w:t>
      </w:r>
    </w:p>
    <w:p w14:paraId="5B6D4FBD">
      <w:pPr>
        <w:spacing w:line="590" w:lineRule="exact"/>
        <w:ind w:firstLine="600"/>
        <w:outlineLvl w:val="1"/>
        <w:rPr>
          <w:color w:val="auto"/>
          <w:sz w:val="30"/>
          <w:szCs w:val="30"/>
          <w:lang w:bidi="ar"/>
        </w:rPr>
      </w:pPr>
      <w:r>
        <w:rPr>
          <w:rFonts w:hint="eastAsia"/>
          <w:color w:val="auto"/>
          <w:sz w:val="30"/>
          <w:szCs w:val="30"/>
          <w:lang w:bidi="ar"/>
        </w:rPr>
        <w:t>十三、省对下转移支付预算表</w:t>
      </w:r>
    </w:p>
    <w:p w14:paraId="0B98E9C5">
      <w:pPr>
        <w:spacing w:line="590" w:lineRule="exact"/>
        <w:ind w:firstLine="600"/>
        <w:outlineLvl w:val="1"/>
        <w:rPr>
          <w:color w:val="auto"/>
          <w:sz w:val="30"/>
          <w:szCs w:val="30"/>
        </w:rPr>
      </w:pPr>
      <w:r>
        <w:rPr>
          <w:rFonts w:hint="eastAsia"/>
          <w:color w:val="auto"/>
          <w:sz w:val="30"/>
          <w:szCs w:val="30"/>
          <w:lang w:bidi="ar"/>
        </w:rPr>
        <w:t>十四、省对下转移支付绩效目标表</w:t>
      </w:r>
    </w:p>
    <w:p w14:paraId="044CD175">
      <w:pPr>
        <w:spacing w:line="590" w:lineRule="exact"/>
        <w:ind w:firstLine="600"/>
        <w:outlineLvl w:val="1"/>
        <w:rPr>
          <w:color w:val="auto"/>
          <w:sz w:val="30"/>
          <w:szCs w:val="30"/>
        </w:rPr>
      </w:pPr>
      <w:r>
        <w:rPr>
          <w:rFonts w:hint="eastAsia"/>
          <w:color w:val="auto"/>
          <w:sz w:val="30"/>
          <w:szCs w:val="30"/>
          <w:lang w:bidi="ar"/>
        </w:rPr>
        <w:t>十五、新增资产配置表</w:t>
      </w:r>
    </w:p>
    <w:p w14:paraId="120C3366">
      <w:pPr>
        <w:spacing w:line="590" w:lineRule="exact"/>
        <w:ind w:firstLine="600"/>
        <w:outlineLvl w:val="1"/>
        <w:rPr>
          <w:color w:val="auto"/>
          <w:sz w:val="30"/>
          <w:szCs w:val="30"/>
          <w:lang w:bidi="ar"/>
        </w:rPr>
      </w:pPr>
      <w:r>
        <w:rPr>
          <w:rFonts w:hint="eastAsia"/>
          <w:color w:val="auto"/>
          <w:sz w:val="30"/>
          <w:szCs w:val="30"/>
          <w:lang w:bidi="ar"/>
        </w:rPr>
        <w:t>十六、中央转移支付补助项目支出预算表</w:t>
      </w:r>
    </w:p>
    <w:p w14:paraId="791C84E0">
      <w:pPr>
        <w:spacing w:line="590" w:lineRule="exact"/>
        <w:ind w:firstLine="600"/>
        <w:outlineLvl w:val="1"/>
        <w:rPr>
          <w:color w:val="auto"/>
          <w:sz w:val="30"/>
          <w:szCs w:val="30"/>
        </w:rPr>
      </w:pPr>
      <w:r>
        <w:rPr>
          <w:rFonts w:hint="eastAsia"/>
          <w:color w:val="auto"/>
          <w:sz w:val="30"/>
          <w:szCs w:val="30"/>
          <w:lang w:bidi="ar"/>
        </w:rPr>
        <w:t>十七、部门项目中期规划预算表</w:t>
      </w:r>
    </w:p>
    <w:p w14:paraId="562287C0">
      <w:pPr>
        <w:rPr>
          <w:rFonts w:hint="eastAsia" w:ascii="黑体" w:hAnsi="黑体" w:eastAsia="黑体"/>
          <w:color w:val="auto"/>
        </w:rPr>
      </w:pPr>
    </w:p>
    <w:p w14:paraId="05BEACB1">
      <w:pPr>
        <w:rPr>
          <w:rFonts w:hint="eastAsia" w:ascii="黑体" w:hAnsi="黑体" w:eastAsia="黑体"/>
          <w:color w:val="auto"/>
        </w:rPr>
      </w:pPr>
    </w:p>
    <w:p w14:paraId="7EF3B0E7">
      <w:pPr>
        <w:rPr>
          <w:rFonts w:hint="eastAsia" w:ascii="黑体" w:hAnsi="黑体" w:eastAsia="黑体"/>
          <w:color w:val="auto"/>
        </w:rPr>
      </w:pPr>
    </w:p>
    <w:p w14:paraId="65D68D5E">
      <w:pPr>
        <w:rPr>
          <w:rFonts w:hint="eastAsia" w:ascii="黑体" w:hAnsi="黑体" w:eastAsia="黑体"/>
          <w:color w:val="auto"/>
        </w:rPr>
      </w:pPr>
    </w:p>
    <w:p w14:paraId="72FA4E4D">
      <w:pPr>
        <w:rPr>
          <w:rFonts w:hint="eastAsia" w:ascii="黑体" w:hAnsi="黑体" w:eastAsia="黑体"/>
          <w:color w:val="auto"/>
        </w:rPr>
      </w:pPr>
    </w:p>
    <w:p w14:paraId="079AC32E">
      <w:pPr>
        <w:rPr>
          <w:rFonts w:hint="eastAsia" w:ascii="黑体" w:hAnsi="黑体" w:eastAsia="黑体"/>
          <w:color w:val="auto"/>
        </w:rPr>
      </w:pPr>
    </w:p>
    <w:p w14:paraId="573E8211">
      <w:pPr>
        <w:rPr>
          <w:rFonts w:hint="eastAsia" w:ascii="黑体" w:hAnsi="黑体" w:eastAsia="黑体"/>
          <w:color w:val="auto"/>
        </w:rPr>
      </w:pPr>
    </w:p>
    <w:p w14:paraId="1410B586">
      <w:pPr>
        <w:ind w:firstLine="0" w:firstLineChars="0"/>
        <w:rPr>
          <w:rFonts w:hint="eastAsia" w:ascii="黑体" w:hAnsi="黑体" w:eastAsia="黑体"/>
          <w:color w:val="auto"/>
        </w:rPr>
      </w:pPr>
    </w:p>
    <w:p w14:paraId="60108602">
      <w:pPr>
        <w:ind w:firstLine="0" w:firstLineChars="0"/>
        <w:rPr>
          <w:rFonts w:hint="eastAsia" w:ascii="黑体" w:hAnsi="黑体" w:eastAsia="黑体"/>
          <w:color w:val="auto"/>
        </w:rPr>
      </w:pPr>
    </w:p>
    <w:p w14:paraId="74F1DAA2">
      <w:pPr>
        <w:pageBreakBefore/>
        <w:ind w:firstLine="0" w:firstLineChars="0"/>
        <w:rPr>
          <w:rFonts w:hint="eastAsia" w:ascii="黑体" w:hAnsi="黑体" w:eastAsia="黑体"/>
          <w:color w:val="auto"/>
          <w:sz w:val="30"/>
          <w:szCs w:val="30"/>
        </w:rPr>
      </w:pPr>
      <w:r>
        <w:rPr>
          <w:rFonts w:hint="eastAsia" w:ascii="黑体" w:hAnsi="黑体" w:eastAsia="黑体"/>
          <w:color w:val="auto"/>
          <w:sz w:val="30"/>
          <w:szCs w:val="30"/>
        </w:rPr>
        <w:t>附件2</w:t>
      </w:r>
    </w:p>
    <w:p w14:paraId="7D5D65DE">
      <w:pPr>
        <w:rPr>
          <w:color w:val="auto"/>
        </w:rPr>
      </w:pPr>
    </w:p>
    <w:p w14:paraId="031A00F2">
      <w:pPr>
        <w:rPr>
          <w:color w:val="auto"/>
        </w:rPr>
      </w:pPr>
    </w:p>
    <w:p w14:paraId="17A2EACE">
      <w:pPr>
        <w:ind w:firstLine="0" w:firstLineChars="0"/>
        <w:jc w:val="center"/>
        <w:outlineLvl w:val="0"/>
        <w:rPr>
          <w:rFonts w:hint="eastAsia" w:ascii="方正小标宋简体" w:hAnsi="宋体" w:eastAsia="方正小标宋简体" w:cs="宋体"/>
          <w:color w:val="auto"/>
          <w:sz w:val="40"/>
          <w:szCs w:val="40"/>
        </w:rPr>
      </w:pPr>
      <w:r>
        <w:rPr>
          <w:rFonts w:hint="eastAsia" w:ascii="方正小标宋简体" w:hAnsi="宋体" w:eastAsia="方正小标宋简体" w:cs="宋体"/>
          <w:color w:val="auto"/>
          <w:sz w:val="40"/>
          <w:szCs w:val="40"/>
        </w:rPr>
        <w:t>云南师范大学附属世纪金源学校</w:t>
      </w:r>
      <w:r>
        <w:rPr>
          <w:rFonts w:ascii="方正小标宋简体" w:hAnsi="方正小标宋简体" w:eastAsia="方正小标宋简体" w:cs="方正小标宋简体"/>
          <w:color w:val="auto"/>
          <w:sz w:val="40"/>
        </w:rPr>
        <w:t>202</w:t>
      </w:r>
      <w:r>
        <w:rPr>
          <w:rFonts w:ascii="方正小标宋简体" w:hAnsi="宋体" w:eastAsia="方正小标宋简体" w:cs="宋体"/>
          <w:color w:val="auto"/>
          <w:sz w:val="40"/>
          <w:szCs w:val="40"/>
          <w:lang w:val="en"/>
        </w:rPr>
        <w:t>6</w:t>
      </w:r>
      <w:r>
        <w:rPr>
          <w:rFonts w:hint="eastAsia" w:ascii="方正小标宋简体" w:hAnsi="宋体" w:eastAsia="方正小标宋简体" w:cs="宋体"/>
          <w:color w:val="auto"/>
          <w:sz w:val="40"/>
          <w:szCs w:val="40"/>
        </w:rPr>
        <w:t>年部门预算编制说明</w:t>
      </w:r>
    </w:p>
    <w:p w14:paraId="60169EBA">
      <w:pPr>
        <w:rPr>
          <w:color w:val="auto"/>
        </w:rPr>
      </w:pPr>
    </w:p>
    <w:p w14:paraId="5ED437C2">
      <w:pPr>
        <w:outlineLvl w:val="0"/>
        <w:rPr>
          <w:rFonts w:hint="eastAsia" w:ascii="黑体" w:hAnsi="黑体" w:eastAsia="黑体"/>
          <w:color w:val="auto"/>
        </w:rPr>
      </w:pPr>
      <w:r>
        <w:rPr>
          <w:rFonts w:hint="eastAsia" w:ascii="黑体" w:hAnsi="黑体" w:eastAsia="黑体"/>
          <w:color w:val="auto"/>
        </w:rPr>
        <w:t>一、基本职能及主要工作</w:t>
      </w:r>
    </w:p>
    <w:p w14:paraId="0E6C06CA">
      <w:pPr>
        <w:outlineLvl w:val="1"/>
        <w:rPr>
          <w:rFonts w:ascii="楷体_GB2312" w:hAnsi="Times New Roman" w:eastAsia="楷体_GB2312"/>
          <w:color w:val="auto"/>
        </w:rPr>
      </w:pPr>
      <w:r>
        <w:rPr>
          <w:rFonts w:hint="eastAsia" w:ascii="楷体_GB2312" w:eastAsia="楷体_GB2312"/>
          <w:color w:val="auto"/>
        </w:rPr>
        <w:t>（一）部门主要职责</w:t>
      </w:r>
    </w:p>
    <w:p w14:paraId="15D23B59">
      <w:pPr>
        <w:widowControl w:val="0"/>
        <w:ind w:firstLine="600"/>
        <w:jc w:val="both"/>
        <w:outlineLvl w:val="2"/>
        <w:rPr>
          <w:rFonts w:hint="eastAsia" w:hAnsi="仿宋_GB2312" w:cs="仿宋_GB2312"/>
          <w:color w:val="auto"/>
          <w:sz w:val="30"/>
          <w:szCs w:val="30"/>
        </w:rPr>
      </w:pPr>
      <w:bookmarkStart w:id="0" w:name="OLE_LINK22"/>
      <w:r>
        <w:rPr>
          <w:rFonts w:hint="eastAsia" w:hAnsi="仿宋_GB2312" w:cs="仿宋_GB2312"/>
          <w:color w:val="auto"/>
          <w:sz w:val="30"/>
          <w:szCs w:val="30"/>
        </w:rPr>
        <w:t>云南师范大学附属世纪金源学校创办于2006年9月，是由云南省教育厅主管，云南师范大学举办的一所国有公办、高校附属，集幼儿园、小学、初中、高中一体化办学的基础教育学校。学校占地121.55亩，建筑面积50</w:t>
      </w:r>
      <w:r>
        <w:rPr>
          <w:rFonts w:hint="eastAsia" w:hAnsi="仿宋_GB2312" w:cs="仿宋_GB2312"/>
          <w:color w:val="auto"/>
          <w:sz w:val="30"/>
          <w:szCs w:val="30"/>
          <w:lang w:val="en-US" w:eastAsia="zh-CN"/>
        </w:rPr>
        <w:t>,</w:t>
      </w:r>
      <w:r>
        <w:rPr>
          <w:rFonts w:hint="eastAsia" w:hAnsi="仿宋_GB2312" w:cs="仿宋_GB2312"/>
          <w:color w:val="auto"/>
          <w:sz w:val="30"/>
          <w:szCs w:val="30"/>
        </w:rPr>
        <w:t>041.36平方米，截至2025年12月，有教学班120个，在校师生7000余人。</w:t>
      </w:r>
    </w:p>
    <w:p w14:paraId="15EBABF9">
      <w:pPr>
        <w:widowControl w:val="0"/>
        <w:ind w:firstLine="600"/>
        <w:jc w:val="both"/>
        <w:outlineLvl w:val="2"/>
        <w:rPr>
          <w:rFonts w:hint="eastAsia" w:hAnsi="仿宋_GB2312" w:cs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hAnsi="仿宋_GB2312" w:cs="仿宋_GB2312"/>
          <w:color w:val="auto"/>
          <w:sz w:val="30"/>
          <w:szCs w:val="30"/>
        </w:rPr>
        <w:t>学校主要职责包括：</w:t>
      </w:r>
    </w:p>
    <w:p w14:paraId="21D96539">
      <w:pPr>
        <w:widowControl w:val="0"/>
        <w:ind w:firstLine="600"/>
        <w:jc w:val="both"/>
        <w:outlineLvl w:val="2"/>
        <w:rPr>
          <w:rFonts w:hint="eastAsia" w:hAnsi="仿宋_GB2312" w:cs="仿宋_GB2312"/>
          <w:color w:val="auto"/>
          <w:sz w:val="30"/>
          <w:szCs w:val="30"/>
        </w:rPr>
      </w:pPr>
      <w:r>
        <w:rPr>
          <w:rFonts w:hint="eastAsia" w:hAnsi="仿宋_GB2312" w:cs="仿宋_GB2312"/>
          <w:color w:val="auto"/>
          <w:sz w:val="30"/>
          <w:szCs w:val="30"/>
        </w:rPr>
        <w:t>1.全学段教育教学管理：贯彻国家教育方针，坚持党的全面领导，把握正确办学方向</w:t>
      </w:r>
      <w:r>
        <w:rPr>
          <w:rFonts w:hint="eastAsia" w:hAnsi="仿宋_GB2312" w:cs="仿宋_GB2312"/>
          <w:color w:val="auto"/>
          <w:sz w:val="30"/>
          <w:szCs w:val="30"/>
          <w:lang w:eastAsia="zh-CN"/>
        </w:rPr>
        <w:t>。</w:t>
      </w:r>
      <w:r>
        <w:rPr>
          <w:rFonts w:hint="eastAsia" w:hAnsi="仿宋_GB2312" w:cs="仿宋_GB2312"/>
          <w:color w:val="auto"/>
          <w:sz w:val="30"/>
          <w:szCs w:val="30"/>
        </w:rPr>
        <w:t>分别执行幼儿园、小学、初中、高中学段的课程标准</w:t>
      </w:r>
      <w:r>
        <w:rPr>
          <w:rFonts w:hint="eastAsia" w:hAnsi="仿宋_GB2312" w:cs="仿宋_GB2312"/>
          <w:color w:val="auto"/>
          <w:sz w:val="30"/>
          <w:szCs w:val="30"/>
          <w:lang w:eastAsia="zh-CN"/>
        </w:rPr>
        <w:t>，</w:t>
      </w:r>
      <w:r>
        <w:rPr>
          <w:rFonts w:hint="eastAsia" w:hAnsi="仿宋_GB2312" w:cs="仿宋_GB2312"/>
          <w:color w:val="auto"/>
          <w:sz w:val="30"/>
          <w:szCs w:val="30"/>
        </w:rPr>
        <w:t>构建十五年</w:t>
      </w:r>
      <w:r>
        <w:rPr>
          <w:rFonts w:hint="eastAsia" w:hAnsi="仿宋_GB2312" w:cs="仿宋_GB2312"/>
          <w:color w:val="auto"/>
          <w:sz w:val="30"/>
          <w:szCs w:val="30"/>
          <w:lang w:val="en-US" w:eastAsia="zh-CN"/>
        </w:rPr>
        <w:t>一体化</w:t>
      </w:r>
      <w:r>
        <w:rPr>
          <w:rFonts w:hint="eastAsia" w:hAnsi="仿宋_GB2312" w:cs="仿宋_GB2312"/>
          <w:color w:val="auto"/>
          <w:sz w:val="30"/>
          <w:szCs w:val="30"/>
        </w:rPr>
        <w:t>的德育体系和课程体系，实现各学段教育的有效衔接与融合发展</w:t>
      </w:r>
      <w:r>
        <w:rPr>
          <w:rFonts w:hint="eastAsia" w:hAnsi="仿宋_GB2312" w:cs="仿宋_GB2312"/>
          <w:color w:val="auto"/>
          <w:sz w:val="30"/>
          <w:szCs w:val="30"/>
          <w:lang w:eastAsia="zh-CN"/>
        </w:rPr>
        <w:t>；</w:t>
      </w:r>
      <w:r>
        <w:rPr>
          <w:rFonts w:hint="eastAsia" w:hAnsi="仿宋_GB2312" w:cs="仿宋_GB2312"/>
          <w:color w:val="auto"/>
          <w:sz w:val="30"/>
          <w:szCs w:val="30"/>
        </w:rPr>
        <w:t>规范教学质量管理，严格执行国家教育考试制度。按照上级教育行政部门的统一部署，认真组织各学段教学质量监测，切实做好升学考试、毕业考试及学业水平考试</w:t>
      </w:r>
      <w:r>
        <w:rPr>
          <w:rFonts w:hint="eastAsia" w:hAnsi="仿宋_GB2312" w:cs="仿宋_GB2312"/>
          <w:color w:val="auto"/>
          <w:sz w:val="30"/>
          <w:szCs w:val="30"/>
          <w:lang w:val="en-US" w:eastAsia="zh-CN"/>
        </w:rPr>
        <w:t>等</w:t>
      </w:r>
      <w:r>
        <w:rPr>
          <w:rFonts w:hint="eastAsia" w:hAnsi="仿宋_GB2312" w:cs="仿宋_GB2312"/>
          <w:color w:val="auto"/>
          <w:sz w:val="30"/>
          <w:szCs w:val="30"/>
        </w:rPr>
        <w:t>的组织与实施工作。</w:t>
      </w:r>
    </w:p>
    <w:p w14:paraId="3C866A95">
      <w:pPr>
        <w:widowControl w:val="0"/>
        <w:numPr>
          <w:ilvl w:val="0"/>
          <w:numId w:val="0"/>
        </w:numPr>
        <w:ind w:firstLine="600" w:firstLineChars="200"/>
        <w:jc w:val="both"/>
        <w:outlineLvl w:val="2"/>
        <w:rPr>
          <w:rFonts w:hint="eastAsia" w:hAnsi="仿宋_GB2312" w:cs="仿宋_GB2312"/>
          <w:color w:val="auto"/>
          <w:sz w:val="30"/>
          <w:szCs w:val="30"/>
        </w:rPr>
      </w:pPr>
      <w:r>
        <w:rPr>
          <w:rFonts w:hint="eastAsia" w:hAnsi="仿宋_GB2312" w:cs="仿宋_GB2312"/>
          <w:color w:val="auto"/>
          <w:sz w:val="30"/>
          <w:szCs w:val="30"/>
          <w:lang w:val="en-US" w:eastAsia="zh-CN"/>
        </w:rPr>
        <w:t>2.</w:t>
      </w:r>
      <w:r>
        <w:rPr>
          <w:rFonts w:hint="eastAsia" w:hAnsi="仿宋_GB2312" w:cs="仿宋_GB2312"/>
          <w:color w:val="auto"/>
          <w:sz w:val="30"/>
          <w:szCs w:val="30"/>
        </w:rPr>
        <w:t>学生管理与综合素质培养：坚持德育为先，尊重学生个性差异，促进学生特长发展，密切关注学生品德修养、学业水平、身心健康及兴趣培养。建立贯通式学生成长档案，开展心理健康教育、生涯规划指导。组织实施国家学生资助政策，落实各学段的奖助学金发放。</w:t>
      </w:r>
    </w:p>
    <w:p w14:paraId="5CA9188B">
      <w:pPr>
        <w:widowControl w:val="0"/>
        <w:numPr>
          <w:ilvl w:val="0"/>
          <w:numId w:val="0"/>
        </w:numPr>
        <w:ind w:firstLine="600" w:firstLineChars="200"/>
        <w:jc w:val="both"/>
        <w:outlineLvl w:val="2"/>
        <w:rPr>
          <w:rFonts w:hint="eastAsia" w:hAnsi="仿宋_GB2312" w:cs="仿宋_GB2312"/>
          <w:color w:val="auto"/>
          <w:sz w:val="30"/>
          <w:szCs w:val="30"/>
        </w:rPr>
      </w:pPr>
      <w:r>
        <w:rPr>
          <w:rFonts w:hint="eastAsia" w:hAnsi="仿宋_GB2312" w:cs="仿宋_GB2312"/>
          <w:color w:val="auto"/>
          <w:sz w:val="30"/>
          <w:szCs w:val="30"/>
        </w:rPr>
        <w:t>3.师资队伍建设与贯通培养：</w:t>
      </w:r>
      <w:r>
        <w:rPr>
          <w:rFonts w:hint="eastAsia" w:hAnsi="仿宋_GB2312" w:cs="仿宋_GB2312"/>
          <w:color w:val="auto"/>
          <w:sz w:val="30"/>
          <w:szCs w:val="30"/>
          <w:lang w:val="en-US" w:eastAsia="zh-CN"/>
        </w:rPr>
        <w:t>规范做好</w:t>
      </w:r>
      <w:r>
        <w:rPr>
          <w:rFonts w:hint="eastAsia" w:hAnsi="仿宋_GB2312" w:cs="仿宋_GB2312"/>
          <w:color w:val="auto"/>
          <w:sz w:val="30"/>
          <w:szCs w:val="30"/>
        </w:rPr>
        <w:t>全校教职工的编制管理、招聘引进、专业发展和师德师风建设</w:t>
      </w:r>
      <w:r>
        <w:rPr>
          <w:rFonts w:hint="eastAsia" w:hAnsi="仿宋_GB2312" w:cs="仿宋_GB2312"/>
          <w:color w:val="auto"/>
          <w:sz w:val="30"/>
          <w:szCs w:val="30"/>
          <w:lang w:val="en-US" w:eastAsia="zh-CN"/>
        </w:rPr>
        <w:t>工作</w:t>
      </w:r>
      <w:r>
        <w:rPr>
          <w:rFonts w:hint="eastAsia" w:hAnsi="仿宋_GB2312" w:cs="仿宋_GB2312"/>
          <w:color w:val="auto"/>
          <w:sz w:val="30"/>
          <w:szCs w:val="30"/>
        </w:rPr>
        <w:t>。组织跨学段的教研活动，探索一体化教师培养模式，打造高素质专业化教师队伍。</w:t>
      </w:r>
    </w:p>
    <w:p w14:paraId="4B9241C1">
      <w:pPr>
        <w:widowControl w:val="0"/>
        <w:ind w:left="0" w:leftChars="0" w:firstLine="600" w:firstLineChars="200"/>
        <w:jc w:val="both"/>
        <w:outlineLvl w:val="2"/>
        <w:rPr>
          <w:rFonts w:hint="eastAsia" w:hAnsi="仿宋_GB2312" w:cs="仿宋_GB2312"/>
          <w:color w:val="auto"/>
          <w:sz w:val="30"/>
          <w:szCs w:val="30"/>
        </w:rPr>
      </w:pPr>
      <w:r>
        <w:rPr>
          <w:rFonts w:hint="eastAsia" w:hAnsi="仿宋_GB2312" w:cs="仿宋_GB2312"/>
          <w:color w:val="auto"/>
          <w:sz w:val="30"/>
          <w:szCs w:val="30"/>
          <w:lang w:val="en-US" w:eastAsia="zh-CN"/>
        </w:rPr>
        <w:t>4.</w:t>
      </w:r>
      <w:r>
        <w:rPr>
          <w:rFonts w:hint="eastAsia" w:hAnsi="仿宋_GB2312" w:cs="仿宋_GB2312"/>
          <w:color w:val="auto"/>
          <w:sz w:val="30"/>
          <w:szCs w:val="30"/>
        </w:rPr>
        <w:t>后勤保障：完善后勤保障体系，提升服务育人水平</w:t>
      </w:r>
      <w:r>
        <w:rPr>
          <w:rFonts w:hint="eastAsia" w:hAnsi="仿宋_GB2312" w:cs="仿宋_GB2312"/>
          <w:color w:val="auto"/>
          <w:sz w:val="30"/>
          <w:szCs w:val="30"/>
          <w:lang w:eastAsia="zh-CN"/>
        </w:rPr>
        <w:t>。</w:t>
      </w:r>
      <w:r>
        <w:rPr>
          <w:rFonts w:hint="eastAsia" w:hAnsi="仿宋_GB2312" w:cs="仿宋_GB2312"/>
          <w:color w:val="auto"/>
          <w:sz w:val="30"/>
          <w:szCs w:val="30"/>
        </w:rPr>
        <w:t>持续优化后勤管理与服务流程，牢固树立为师生服务的工作理念。强化服务意识，提升服务效能，为学校各项事业的顺利开展提供坚实的后勤保障。</w:t>
      </w:r>
    </w:p>
    <w:p w14:paraId="30553B19">
      <w:pPr>
        <w:widowControl w:val="0"/>
        <w:ind w:left="0" w:leftChars="0" w:firstLine="600" w:firstLineChars="200"/>
        <w:jc w:val="both"/>
        <w:outlineLvl w:val="2"/>
        <w:rPr>
          <w:rFonts w:hint="eastAsia" w:hAnsi="仿宋_GB2312" w:cs="仿宋_GB2312"/>
          <w:color w:val="auto"/>
          <w:sz w:val="30"/>
          <w:szCs w:val="30"/>
        </w:rPr>
      </w:pPr>
      <w:r>
        <w:rPr>
          <w:rFonts w:hint="eastAsia" w:hAnsi="仿宋_GB2312" w:cs="仿宋_GB2312"/>
          <w:color w:val="auto"/>
          <w:sz w:val="30"/>
          <w:szCs w:val="30"/>
          <w:lang w:val="en-US" w:eastAsia="zh-CN"/>
        </w:rPr>
        <w:t>5.</w:t>
      </w:r>
      <w:r>
        <w:rPr>
          <w:rFonts w:hint="eastAsia" w:hAnsi="仿宋_GB2312" w:cs="仿宋_GB2312"/>
          <w:color w:val="auto"/>
          <w:sz w:val="30"/>
          <w:szCs w:val="30"/>
        </w:rPr>
        <w:t>财务与资产管理：严格财经纪律，规范资产管理运营</w:t>
      </w:r>
      <w:r>
        <w:rPr>
          <w:rFonts w:hint="eastAsia" w:hAnsi="仿宋_GB2312" w:cs="仿宋_GB2312"/>
          <w:color w:val="auto"/>
          <w:sz w:val="30"/>
          <w:szCs w:val="30"/>
          <w:lang w:eastAsia="zh-CN"/>
        </w:rPr>
        <w:t>。</w:t>
      </w:r>
      <w:r>
        <w:rPr>
          <w:rFonts w:hint="eastAsia" w:hAnsi="仿宋_GB2312" w:cs="仿宋_GB2312"/>
          <w:color w:val="auto"/>
          <w:sz w:val="30"/>
          <w:szCs w:val="30"/>
        </w:rPr>
        <w:t>严格执行国家财经法律法规及财务管理制度，规范教育收费行为。科学编制年度财务预算、决算，统筹合理安排、严格监管办学经费，有效防范财务风险。加强国有资产管理，提高资产使用效益，稳步推进校园基础设施建设与维修改造，持续改善办学条件。</w:t>
      </w:r>
    </w:p>
    <w:p w14:paraId="4DD7DC89">
      <w:pPr>
        <w:widowControl w:val="0"/>
        <w:ind w:left="0" w:leftChars="0" w:firstLine="600" w:firstLineChars="200"/>
        <w:jc w:val="both"/>
        <w:outlineLvl w:val="2"/>
        <w:rPr>
          <w:rFonts w:hint="eastAsia" w:hAnsi="仿宋_GB2312" w:cs="仿宋_GB2312"/>
          <w:color w:val="auto"/>
          <w:sz w:val="30"/>
          <w:szCs w:val="30"/>
          <w:lang w:eastAsia="zh-CN"/>
        </w:rPr>
      </w:pPr>
      <w:r>
        <w:rPr>
          <w:rFonts w:hint="eastAsia" w:hAnsi="仿宋_GB2312" w:cs="仿宋_GB2312"/>
          <w:color w:val="auto"/>
          <w:sz w:val="30"/>
          <w:szCs w:val="30"/>
          <w:lang w:val="en-US" w:eastAsia="zh-CN"/>
        </w:rPr>
        <w:t>6.</w:t>
      </w:r>
      <w:r>
        <w:rPr>
          <w:rFonts w:hint="eastAsia" w:hAnsi="仿宋_GB2312" w:cs="仿宋_GB2312"/>
          <w:color w:val="auto"/>
          <w:sz w:val="30"/>
          <w:szCs w:val="30"/>
        </w:rPr>
        <w:t>筑牢校园安全防线，建设平安和谐校园</w:t>
      </w:r>
      <w:r>
        <w:rPr>
          <w:rFonts w:hint="eastAsia" w:hAnsi="仿宋_GB2312" w:cs="仿宋_GB2312"/>
          <w:color w:val="auto"/>
          <w:sz w:val="30"/>
          <w:szCs w:val="30"/>
          <w:lang w:eastAsia="zh-CN"/>
        </w:rPr>
        <w:t>。</w:t>
      </w:r>
      <w:r>
        <w:rPr>
          <w:rFonts w:hint="eastAsia" w:hAnsi="仿宋_GB2312" w:cs="仿宋_GB2312"/>
          <w:color w:val="auto"/>
          <w:sz w:val="30"/>
          <w:szCs w:val="30"/>
        </w:rPr>
        <w:t>建立健全校园安全管理长效机制，制定完善各类突发事件应急预案。定期组织开展安全知识教育、消防疏散、防震减灾、防暴</w:t>
      </w:r>
      <w:r>
        <w:rPr>
          <w:rFonts w:hint="eastAsia" w:hAnsi="仿宋_GB2312" w:cs="仿宋_GB2312"/>
          <w:color w:val="auto"/>
          <w:sz w:val="30"/>
          <w:szCs w:val="30"/>
          <w:lang w:val="en-US" w:eastAsia="zh-CN"/>
        </w:rPr>
        <w:t>反</w:t>
      </w:r>
      <w:r>
        <w:rPr>
          <w:rFonts w:hint="eastAsia" w:hAnsi="仿宋_GB2312" w:cs="仿宋_GB2312"/>
          <w:color w:val="auto"/>
          <w:sz w:val="30"/>
          <w:szCs w:val="30"/>
        </w:rPr>
        <w:t>恐等演练活动，强化人防、物防、技防建设，切实保障师生生命财产安全和校园和谐稳定</w:t>
      </w:r>
      <w:r>
        <w:rPr>
          <w:rFonts w:hint="eastAsia" w:hAnsi="仿宋_GB2312" w:cs="仿宋_GB2312"/>
          <w:color w:val="auto"/>
          <w:sz w:val="30"/>
          <w:szCs w:val="30"/>
          <w:lang w:eastAsia="zh-CN"/>
        </w:rPr>
        <w:t>。</w:t>
      </w:r>
    </w:p>
    <w:p w14:paraId="0D27AA2B">
      <w:pPr>
        <w:widowControl w:val="0"/>
        <w:ind w:left="0" w:leftChars="0" w:firstLine="600" w:firstLineChars="200"/>
        <w:jc w:val="both"/>
        <w:outlineLvl w:val="2"/>
        <w:rPr>
          <w:rFonts w:hint="eastAsia" w:hAnsi="仿宋_GB2312" w:cs="仿宋_GB2312"/>
          <w:color w:val="auto"/>
          <w:sz w:val="30"/>
          <w:szCs w:val="30"/>
        </w:rPr>
      </w:pPr>
      <w:r>
        <w:rPr>
          <w:rFonts w:hint="eastAsia" w:hAnsi="仿宋_GB2312" w:cs="仿宋_GB2312"/>
          <w:color w:val="auto"/>
          <w:sz w:val="30"/>
          <w:szCs w:val="30"/>
          <w:lang w:val="en-US" w:eastAsia="zh-CN"/>
        </w:rPr>
        <w:t>7.</w:t>
      </w:r>
      <w:r>
        <w:rPr>
          <w:rFonts w:hint="eastAsia" w:hAnsi="仿宋_GB2312" w:cs="仿宋_GB2312"/>
          <w:color w:val="auto"/>
          <w:sz w:val="30"/>
          <w:szCs w:val="30"/>
        </w:rPr>
        <w:t>社会服务</w:t>
      </w:r>
      <w:r>
        <w:rPr>
          <w:rFonts w:hint="eastAsia" w:hAnsi="仿宋_GB2312" w:cs="仿宋_GB2312"/>
          <w:color w:val="auto"/>
          <w:sz w:val="30"/>
          <w:szCs w:val="30"/>
          <w:lang w:val="en-US" w:eastAsia="zh-CN"/>
        </w:rPr>
        <w:t>与辐射引领</w:t>
      </w:r>
      <w:r>
        <w:rPr>
          <w:rFonts w:hint="eastAsia" w:hAnsi="仿宋_GB2312" w:cs="仿宋_GB2312"/>
          <w:color w:val="auto"/>
          <w:sz w:val="30"/>
          <w:szCs w:val="30"/>
        </w:rPr>
        <w:t>：建立家、校、社协同育人机制</w:t>
      </w:r>
      <w:r>
        <w:rPr>
          <w:rFonts w:hint="eastAsia" w:hAnsi="仿宋_GB2312" w:cs="仿宋_GB2312"/>
          <w:color w:val="auto"/>
          <w:sz w:val="30"/>
          <w:szCs w:val="30"/>
          <w:lang w:eastAsia="zh-CN"/>
        </w:rPr>
        <w:t>，</w:t>
      </w:r>
      <w:r>
        <w:rPr>
          <w:rFonts w:hint="eastAsia" w:hAnsi="仿宋_GB2312" w:cs="仿宋_GB2312"/>
          <w:color w:val="auto"/>
          <w:sz w:val="30"/>
          <w:szCs w:val="30"/>
          <w:lang w:val="en-US" w:eastAsia="zh-CN"/>
        </w:rPr>
        <w:t>实现家校社共育</w:t>
      </w:r>
      <w:r>
        <w:rPr>
          <w:rFonts w:hint="eastAsia" w:hAnsi="仿宋_GB2312" w:cs="仿宋_GB2312"/>
          <w:color w:val="auto"/>
          <w:sz w:val="30"/>
          <w:szCs w:val="30"/>
        </w:rPr>
        <w:t>。发挥学校在</w:t>
      </w:r>
      <w:r>
        <w:rPr>
          <w:rFonts w:hint="eastAsia" w:hAnsi="仿宋_GB2312" w:cs="仿宋_GB2312"/>
          <w:color w:val="auto"/>
          <w:sz w:val="30"/>
          <w:szCs w:val="30"/>
          <w:lang w:val="en-US" w:eastAsia="zh-CN"/>
        </w:rPr>
        <w:t>教育教学上</w:t>
      </w:r>
      <w:r>
        <w:rPr>
          <w:rFonts w:hint="eastAsia" w:hAnsi="仿宋_GB2312" w:cs="仿宋_GB2312"/>
          <w:color w:val="auto"/>
          <w:sz w:val="30"/>
          <w:szCs w:val="30"/>
        </w:rPr>
        <w:t>的优势和辐射作用，承担对口帮扶工作</w:t>
      </w:r>
      <w:r>
        <w:rPr>
          <w:rFonts w:hint="eastAsia" w:hAnsi="仿宋_GB2312" w:cs="仿宋_GB2312"/>
          <w:color w:val="auto"/>
          <w:sz w:val="30"/>
          <w:szCs w:val="30"/>
          <w:lang w:eastAsia="zh-CN"/>
        </w:rPr>
        <w:t>，</w:t>
      </w:r>
      <w:r>
        <w:rPr>
          <w:rFonts w:hint="eastAsia" w:hAnsi="仿宋_GB2312" w:cs="仿宋_GB2312"/>
          <w:color w:val="auto"/>
          <w:sz w:val="30"/>
          <w:szCs w:val="30"/>
        </w:rPr>
        <w:t>为云南省基础教育的发展作出积极有效的贡献。</w:t>
      </w:r>
    </w:p>
    <w:p w14:paraId="47F69D58">
      <w:pPr>
        <w:widowControl w:val="0"/>
        <w:jc w:val="both"/>
        <w:outlineLvl w:val="1"/>
        <w:rPr>
          <w:rFonts w:ascii="楷体_GB2312" w:eastAsia="楷体_GB2312"/>
          <w:color w:val="auto"/>
        </w:rPr>
      </w:pPr>
      <w:r>
        <w:rPr>
          <w:rFonts w:hint="eastAsia" w:ascii="楷体_GB2312" w:eastAsia="楷体_GB2312"/>
          <w:color w:val="auto"/>
        </w:rPr>
        <w:t>（二）机构设置情况</w:t>
      </w:r>
    </w:p>
    <w:p w14:paraId="5AFF15CE">
      <w:pPr>
        <w:widowControl w:val="0"/>
        <w:ind w:firstLine="600"/>
        <w:jc w:val="both"/>
        <w:outlineLvl w:val="2"/>
        <w:rPr>
          <w:rFonts w:hint="eastAsia" w:hAnsi="仿宋_GB2312" w:cs="仿宋_GB2312"/>
          <w:color w:val="auto"/>
          <w:sz w:val="30"/>
          <w:szCs w:val="30"/>
        </w:rPr>
      </w:pPr>
      <w:r>
        <w:rPr>
          <w:rFonts w:hint="eastAsia" w:hAnsi="仿宋_GB2312" w:cs="仿宋_GB2312"/>
          <w:color w:val="auto"/>
          <w:sz w:val="30"/>
          <w:szCs w:val="30"/>
        </w:rPr>
        <w:t>我部门共设置14个内设机构，包括：幼儿园段、小学段、初中段、高中段、党委办公室、工会、团委、行政办公室、教学运行中心、教师发展中心、学生成长中心、安全保卫中心、后勤保障中心、数据科创中心。</w:t>
      </w:r>
    </w:p>
    <w:p w14:paraId="06F45BB4">
      <w:pPr>
        <w:widowControl w:val="0"/>
        <w:ind w:firstLine="600"/>
        <w:jc w:val="both"/>
        <w:outlineLvl w:val="2"/>
        <w:rPr>
          <w:rFonts w:hint="eastAsia" w:hAnsi="仿宋_GB2312" w:cs="仿宋_GB2312"/>
          <w:color w:val="auto"/>
          <w:sz w:val="30"/>
          <w:szCs w:val="30"/>
        </w:rPr>
      </w:pPr>
      <w:r>
        <w:rPr>
          <w:rFonts w:hint="eastAsia" w:hAnsi="仿宋_GB2312" w:cs="仿宋_GB2312"/>
          <w:color w:val="auto"/>
          <w:sz w:val="30"/>
          <w:szCs w:val="30"/>
        </w:rPr>
        <w:t>无所属单位。</w:t>
      </w:r>
    </w:p>
    <w:p w14:paraId="14FCD6E7">
      <w:pPr>
        <w:widowControl w:val="0"/>
        <w:jc w:val="both"/>
        <w:outlineLvl w:val="1"/>
        <w:rPr>
          <w:rFonts w:ascii="楷体_GB2312" w:eastAsia="楷体_GB2312"/>
          <w:color w:val="auto"/>
        </w:rPr>
      </w:pPr>
      <w:r>
        <w:rPr>
          <w:rFonts w:hint="eastAsia" w:ascii="楷体_GB2312" w:eastAsia="楷体_GB2312"/>
          <w:color w:val="auto"/>
        </w:rPr>
        <w:t>（三）重点工作概述</w:t>
      </w:r>
    </w:p>
    <w:p w14:paraId="7C8CB16F">
      <w:pPr>
        <w:widowControl w:val="0"/>
        <w:ind w:firstLine="600"/>
        <w:jc w:val="both"/>
        <w:outlineLvl w:val="2"/>
        <w:rPr>
          <w:rFonts w:hint="eastAsia" w:hAnsi="仿宋_GB2312" w:cs="仿宋_GB2312"/>
          <w:color w:val="auto"/>
          <w:sz w:val="30"/>
          <w:szCs w:val="30"/>
        </w:rPr>
      </w:pPr>
      <w:r>
        <w:rPr>
          <w:rFonts w:hint="eastAsia" w:hAnsi="仿宋_GB2312" w:cs="仿宋_GB2312"/>
          <w:color w:val="auto"/>
          <w:sz w:val="30"/>
          <w:szCs w:val="30"/>
          <w:lang w:val="en-US" w:eastAsia="zh-CN"/>
        </w:rPr>
        <w:t>1.</w:t>
      </w:r>
      <w:r>
        <w:rPr>
          <w:rFonts w:hint="eastAsia" w:hAnsi="仿宋_GB2312" w:cs="仿宋_GB2312"/>
          <w:color w:val="auto"/>
          <w:sz w:val="30"/>
          <w:szCs w:val="30"/>
        </w:rPr>
        <w:t>全面加强党的建设，充分发挥党组织的领导作用。一是强化政治引领，完善党的领导体制</w:t>
      </w:r>
      <w:r>
        <w:rPr>
          <w:rFonts w:hint="eastAsia" w:hAnsi="仿宋_GB2312" w:cs="仿宋_GB2312"/>
          <w:color w:val="auto"/>
          <w:sz w:val="30"/>
          <w:szCs w:val="30"/>
          <w:lang w:eastAsia="zh-CN"/>
        </w:rPr>
        <w:t>；</w:t>
      </w:r>
      <w:r>
        <w:rPr>
          <w:rFonts w:hint="eastAsia" w:hAnsi="仿宋_GB2312" w:cs="仿宋_GB2312"/>
          <w:color w:val="auto"/>
          <w:sz w:val="30"/>
          <w:szCs w:val="30"/>
        </w:rPr>
        <w:t>二是深化思想建设，筑牢理想信念根基</w:t>
      </w:r>
      <w:r>
        <w:rPr>
          <w:rFonts w:hint="eastAsia" w:hAnsi="仿宋_GB2312" w:cs="仿宋_GB2312"/>
          <w:color w:val="auto"/>
          <w:sz w:val="30"/>
          <w:szCs w:val="30"/>
          <w:lang w:eastAsia="zh-CN"/>
        </w:rPr>
        <w:t>；</w:t>
      </w:r>
      <w:r>
        <w:rPr>
          <w:rFonts w:hint="eastAsia" w:hAnsi="仿宋_GB2312" w:cs="仿宋_GB2312"/>
          <w:color w:val="auto"/>
          <w:sz w:val="30"/>
          <w:szCs w:val="30"/>
        </w:rPr>
        <w:t>三是加强组织建设，提升基层党建质量</w:t>
      </w:r>
      <w:r>
        <w:rPr>
          <w:rFonts w:hint="eastAsia" w:hAnsi="仿宋_GB2312" w:cs="仿宋_GB2312"/>
          <w:color w:val="auto"/>
          <w:sz w:val="30"/>
          <w:szCs w:val="30"/>
          <w:lang w:eastAsia="zh-CN"/>
        </w:rPr>
        <w:t>；</w:t>
      </w:r>
      <w:r>
        <w:rPr>
          <w:rFonts w:hint="eastAsia" w:hAnsi="仿宋_GB2312" w:cs="仿宋_GB2312"/>
          <w:color w:val="auto"/>
          <w:sz w:val="30"/>
          <w:szCs w:val="30"/>
        </w:rPr>
        <w:t>四是深化作风建设，纵深推进党风廉政建设和反腐败斗争。</w:t>
      </w:r>
    </w:p>
    <w:p w14:paraId="1A256126">
      <w:pPr>
        <w:widowControl w:val="0"/>
        <w:ind w:firstLine="600"/>
        <w:jc w:val="both"/>
        <w:outlineLvl w:val="2"/>
        <w:rPr>
          <w:rFonts w:hint="eastAsia" w:hAnsi="仿宋_GB2312" w:cs="仿宋_GB2312"/>
          <w:color w:val="auto"/>
          <w:sz w:val="30"/>
          <w:szCs w:val="30"/>
          <w:lang w:val="en-US" w:eastAsia="zh-CN"/>
        </w:rPr>
      </w:pPr>
      <w:r>
        <w:rPr>
          <w:rFonts w:hint="eastAsia" w:hAnsi="仿宋_GB2312" w:cs="仿宋_GB2312"/>
          <w:color w:val="auto"/>
          <w:sz w:val="30"/>
          <w:szCs w:val="30"/>
          <w:lang w:val="en-US" w:eastAsia="zh-CN"/>
        </w:rPr>
        <w:t>2.筑牢安全防线，建设平安校园。全面落实安全责任，确保管理无死角，多角度织牢校园安全网络。多渠道开展安全宣传教育和心理健康教育，保障学生阳光成长。</w:t>
      </w:r>
    </w:p>
    <w:p w14:paraId="6F91D776">
      <w:pPr>
        <w:widowControl w:val="0"/>
        <w:ind w:firstLine="600"/>
        <w:jc w:val="both"/>
        <w:outlineLvl w:val="2"/>
        <w:rPr>
          <w:rFonts w:hint="default" w:hAnsi="仿宋_GB2312" w:cs="仿宋_GB2312"/>
          <w:color w:val="auto"/>
          <w:sz w:val="30"/>
          <w:szCs w:val="30"/>
          <w:lang w:val="en-US" w:eastAsia="zh-CN"/>
        </w:rPr>
      </w:pPr>
      <w:r>
        <w:rPr>
          <w:rFonts w:hint="eastAsia" w:hAnsi="仿宋_GB2312" w:cs="仿宋_GB2312"/>
          <w:color w:val="auto"/>
          <w:sz w:val="30"/>
          <w:szCs w:val="30"/>
          <w:lang w:val="en-US" w:eastAsia="zh-CN"/>
        </w:rPr>
        <w:t>3.紧紧围绕立德树人根本任务，五育并举，多途径开展活动，培养德智体美劳全面发展的时代新人。</w:t>
      </w:r>
    </w:p>
    <w:p w14:paraId="71B9C9A0">
      <w:pPr>
        <w:widowControl w:val="0"/>
        <w:ind w:firstLine="600"/>
        <w:jc w:val="both"/>
        <w:outlineLvl w:val="2"/>
        <w:rPr>
          <w:rFonts w:hint="eastAsia" w:hAnsi="仿宋_GB2312" w:cs="仿宋_GB2312"/>
          <w:color w:val="auto"/>
          <w:sz w:val="30"/>
          <w:szCs w:val="30"/>
          <w:lang w:eastAsia="zh-CN"/>
        </w:rPr>
      </w:pPr>
      <w:r>
        <w:rPr>
          <w:rFonts w:hint="eastAsia" w:hAnsi="仿宋_GB2312" w:cs="仿宋_GB2312"/>
          <w:color w:val="auto"/>
          <w:sz w:val="30"/>
          <w:szCs w:val="30"/>
          <w:lang w:val="en-US" w:eastAsia="zh-CN"/>
        </w:rPr>
        <w:t>4.落实教学常规，促进教学质量稳步提升。提高高中教育办学质量，促进小学、初中优质均衡发展，巩固幼儿园一级一等现代教育示范幼儿园办园水平。</w:t>
      </w:r>
    </w:p>
    <w:p w14:paraId="3B95B587">
      <w:pPr>
        <w:widowControl w:val="0"/>
        <w:ind w:firstLine="600"/>
        <w:jc w:val="both"/>
        <w:outlineLvl w:val="2"/>
        <w:rPr>
          <w:rFonts w:hint="eastAsia" w:hAnsi="仿宋_GB2312" w:cs="仿宋_GB2312"/>
          <w:color w:val="auto"/>
          <w:sz w:val="30"/>
          <w:szCs w:val="30"/>
          <w:lang w:val="en-US" w:eastAsia="zh-CN"/>
        </w:rPr>
      </w:pPr>
      <w:r>
        <w:rPr>
          <w:rFonts w:hint="eastAsia" w:hAnsi="仿宋_GB2312" w:cs="仿宋_GB2312"/>
          <w:color w:val="auto"/>
          <w:sz w:val="30"/>
          <w:szCs w:val="30"/>
          <w:lang w:val="en-US" w:eastAsia="zh-CN"/>
        </w:rPr>
        <w:t>5.多渠道培训教师，建立健全教师培训制度，促进教师专业成长。搭建平台，抓名优教师培养，建设高水平班主任、教师队伍。</w:t>
      </w:r>
    </w:p>
    <w:p w14:paraId="5B08257B">
      <w:pPr>
        <w:widowControl w:val="0"/>
        <w:ind w:firstLine="600"/>
        <w:jc w:val="both"/>
        <w:outlineLvl w:val="2"/>
        <w:rPr>
          <w:rFonts w:hint="eastAsia" w:hAnsi="仿宋_GB2312" w:cs="仿宋_GB2312"/>
          <w:color w:val="auto"/>
          <w:sz w:val="30"/>
          <w:szCs w:val="30"/>
          <w:lang w:val="en-US" w:eastAsia="zh-CN"/>
        </w:rPr>
      </w:pPr>
      <w:r>
        <w:rPr>
          <w:rFonts w:hint="eastAsia" w:hAnsi="仿宋_GB2312" w:cs="仿宋_GB2312"/>
          <w:color w:val="auto"/>
          <w:sz w:val="30"/>
          <w:szCs w:val="30"/>
          <w:lang w:val="en-US" w:eastAsia="zh-CN"/>
        </w:rPr>
        <w:t>6.聚焦师生需求，提高后勤保障质量与水平。加强校园环境建设，提升整体教育氛围。建设智慧校园，提升学校的管理效能、教师的教学效率、学生的学习效率。</w:t>
      </w:r>
    </w:p>
    <w:p w14:paraId="509D9E4F">
      <w:pPr>
        <w:widowControl w:val="0"/>
        <w:jc w:val="both"/>
        <w:outlineLvl w:val="0"/>
        <w:rPr>
          <w:color w:val="auto"/>
        </w:rPr>
      </w:pPr>
      <w:r>
        <w:rPr>
          <w:rFonts w:hint="eastAsia" w:ascii="黑体" w:hAnsi="黑体" w:eastAsia="黑体"/>
          <w:color w:val="auto"/>
        </w:rPr>
        <w:t>二、预算单位基本情况</w:t>
      </w:r>
    </w:p>
    <w:p w14:paraId="49CF2885">
      <w:pPr>
        <w:widowControl w:val="0"/>
        <w:ind w:firstLine="600"/>
        <w:jc w:val="both"/>
        <w:outlineLvl w:val="2"/>
        <w:rPr>
          <w:rFonts w:hint="eastAsia" w:hAnsi="仿宋_GB2312" w:cs="仿宋_GB2312"/>
          <w:color w:val="auto"/>
          <w:sz w:val="30"/>
          <w:szCs w:val="30"/>
        </w:rPr>
      </w:pPr>
      <w:r>
        <w:rPr>
          <w:rFonts w:hint="eastAsia" w:hAnsi="仿宋_GB2312" w:cs="仿宋_GB2312"/>
          <w:color w:val="auto"/>
          <w:sz w:val="30"/>
          <w:szCs w:val="30"/>
        </w:rPr>
        <w:t>我部门编制202</w:t>
      </w:r>
      <w:r>
        <w:rPr>
          <w:rFonts w:hAnsi="仿宋_GB2312" w:cs="仿宋_GB2312"/>
          <w:color w:val="auto"/>
          <w:sz w:val="30"/>
          <w:szCs w:val="30"/>
        </w:rPr>
        <w:t>6</w:t>
      </w:r>
      <w:r>
        <w:rPr>
          <w:rFonts w:hint="eastAsia" w:hAnsi="仿宋_GB2312" w:cs="仿宋_GB2312"/>
          <w:color w:val="auto"/>
          <w:sz w:val="30"/>
          <w:szCs w:val="30"/>
        </w:rPr>
        <w:t>年部门预算单位共1个。其中：财政全额供给单位1个；差额供给单位0个；定额补助单位0个；自收自支单位0个。财政全额供给单位中行政单位0个；参公单位0个；事业单位1个。截止202</w:t>
      </w:r>
      <w:r>
        <w:rPr>
          <w:rFonts w:hAnsi="仿宋_GB2312" w:cs="仿宋_GB2312"/>
          <w:color w:val="auto"/>
          <w:sz w:val="30"/>
          <w:szCs w:val="30"/>
        </w:rPr>
        <w:t>5</w:t>
      </w:r>
      <w:r>
        <w:rPr>
          <w:rFonts w:hint="eastAsia" w:hAnsi="仿宋_GB2312" w:cs="仿宋_GB2312"/>
          <w:color w:val="auto"/>
          <w:sz w:val="30"/>
          <w:szCs w:val="30"/>
        </w:rPr>
        <w:t>年12月统计，部门基本情况如下：</w:t>
      </w:r>
    </w:p>
    <w:p w14:paraId="6B002F55">
      <w:pPr>
        <w:widowControl w:val="0"/>
        <w:ind w:firstLine="600"/>
        <w:jc w:val="both"/>
        <w:outlineLvl w:val="2"/>
        <w:rPr>
          <w:rFonts w:hint="eastAsia" w:hAnsi="仿宋_GB2312" w:cs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hAnsi="仿宋_GB2312" w:cs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在职人员编制352人，其中：行政编制0人,工勤人员编制0人，事业编制352人。在职实有339人，其中：财政全额保障339人，财政差额补助0人，财政专户资金、单位资金保障0人。</w:t>
      </w:r>
    </w:p>
    <w:p w14:paraId="04C95D86">
      <w:pPr>
        <w:widowControl w:val="0"/>
        <w:ind w:firstLine="600"/>
        <w:jc w:val="both"/>
        <w:outlineLvl w:val="2"/>
        <w:rPr>
          <w:rFonts w:hint="eastAsia" w:hAnsi="仿宋_GB2312" w:cs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hAnsi="仿宋_GB2312" w:cs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离退休人员48人，其中：离休0人，退休48人。</w:t>
      </w:r>
    </w:p>
    <w:p w14:paraId="5A0F61B5">
      <w:pPr>
        <w:widowControl w:val="0"/>
        <w:ind w:firstLine="600"/>
        <w:jc w:val="both"/>
        <w:outlineLvl w:val="2"/>
        <w:rPr>
          <w:rFonts w:hint="eastAsia" w:hAnsi="仿宋_GB2312" w:cs="仿宋_GB2312"/>
          <w:color w:val="auto"/>
          <w:sz w:val="30"/>
          <w:szCs w:val="30"/>
        </w:rPr>
      </w:pPr>
      <w:r>
        <w:rPr>
          <w:rFonts w:hint="eastAsia" w:hAnsi="仿宋_GB2312" w:cs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车辆编制5辆，实有车辆3辆</w:t>
      </w:r>
      <w:r>
        <w:rPr>
          <w:rFonts w:hAnsi="仿宋_GB2312" w:cs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,</w:t>
      </w:r>
      <w:r>
        <w:rPr>
          <w:rFonts w:hint="eastAsia" w:hAnsi="仿宋_GB2312" w:cs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超编</w:t>
      </w:r>
      <w:r>
        <w:rPr>
          <w:rFonts w:hAnsi="仿宋_GB2312" w:cs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0</w:t>
      </w:r>
      <w:r>
        <w:rPr>
          <w:rFonts w:hint="eastAsia" w:hAnsi="仿宋_GB2312" w:cs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辆。</w:t>
      </w:r>
    </w:p>
    <w:p w14:paraId="718123EB">
      <w:pPr>
        <w:widowControl w:val="0"/>
        <w:jc w:val="both"/>
        <w:outlineLvl w:val="0"/>
        <w:rPr>
          <w:rFonts w:hint="eastAsia" w:ascii="黑体" w:hAnsi="黑体" w:eastAsia="黑体"/>
          <w:color w:val="auto"/>
        </w:rPr>
      </w:pPr>
      <w:r>
        <w:rPr>
          <w:rFonts w:hint="eastAsia" w:ascii="黑体" w:hAnsi="黑体" w:eastAsia="黑体"/>
          <w:color w:val="auto"/>
        </w:rPr>
        <w:t>三、预算单位收入情况</w:t>
      </w:r>
    </w:p>
    <w:p w14:paraId="024BE450">
      <w:pPr>
        <w:widowControl w:val="0"/>
        <w:jc w:val="both"/>
        <w:outlineLvl w:val="1"/>
        <w:rPr>
          <w:rFonts w:ascii="楷体_GB2312" w:eastAsia="楷体_GB2312"/>
          <w:color w:val="auto"/>
        </w:rPr>
      </w:pPr>
      <w:r>
        <w:rPr>
          <w:rFonts w:hint="eastAsia" w:ascii="楷体_GB2312" w:eastAsia="楷体_GB2312"/>
          <w:color w:val="auto"/>
        </w:rPr>
        <w:t>（一）部门财务收入情况</w:t>
      </w:r>
    </w:p>
    <w:p w14:paraId="348280F1">
      <w:pPr>
        <w:widowControl w:val="0"/>
        <w:ind w:firstLine="600"/>
        <w:jc w:val="both"/>
        <w:outlineLvl w:val="2"/>
        <w:rPr>
          <w:rFonts w:hint="eastAsia" w:hAnsi="仿宋_GB2312" w:cs="仿宋_GB2312"/>
          <w:color w:val="auto"/>
          <w:sz w:val="30"/>
          <w:szCs w:val="30"/>
        </w:rPr>
      </w:pPr>
      <w:r>
        <w:rPr>
          <w:rFonts w:hint="eastAsia" w:hAnsi="仿宋_GB2312" w:cs="仿宋_GB2312"/>
          <w:color w:val="auto"/>
          <w:sz w:val="30"/>
          <w:szCs w:val="30"/>
        </w:rPr>
        <w:t>202</w:t>
      </w:r>
      <w:r>
        <w:rPr>
          <w:rFonts w:hAnsi="仿宋_GB2312" w:cs="仿宋_GB2312"/>
          <w:color w:val="auto"/>
          <w:sz w:val="30"/>
          <w:szCs w:val="30"/>
        </w:rPr>
        <w:t>6</w:t>
      </w:r>
      <w:r>
        <w:rPr>
          <w:rFonts w:hint="eastAsia" w:hAnsi="仿宋_GB2312" w:cs="仿宋_GB2312"/>
          <w:color w:val="auto"/>
          <w:sz w:val="30"/>
          <w:szCs w:val="30"/>
        </w:rPr>
        <w:t>年部门财务总收入106,112,415.83元，其中：一般公共预算92,074,415.83元，政府性基金0.00元，国有资本经营收益0.00元，财政专户管理的收入2,310,000.00元，事业收入0.00元，事业单位经营收入0.00元，上级补助收入0.00元，附属单位上缴收入0.00元，其他收入11,728,000.00元。</w:t>
      </w:r>
    </w:p>
    <w:p w14:paraId="0D997A05">
      <w:pPr>
        <w:widowControl w:val="0"/>
        <w:ind w:firstLine="600"/>
        <w:jc w:val="both"/>
        <w:outlineLvl w:val="2"/>
        <w:rPr>
          <w:rFonts w:hint="eastAsia" w:hAnsi="仿宋_GB2312" w:cs="仿宋_GB2312"/>
          <w:color w:val="auto"/>
          <w:sz w:val="30"/>
          <w:szCs w:val="30"/>
        </w:rPr>
      </w:pPr>
      <w:r>
        <w:rPr>
          <w:rFonts w:hint="eastAsia" w:hAnsi="仿宋_GB2312" w:cs="仿宋_GB2312"/>
          <w:color w:val="auto"/>
          <w:sz w:val="30"/>
          <w:szCs w:val="30"/>
        </w:rPr>
        <w:t>与上年对比部门财务总收入增加8,435,286.22元，其中：一般公共预算增加1,416,766.22元，财政专户管理资金收入增加304,320.00元，其他收入增加6,714,200.00元。主要原因分析：（1）一般公共预算增加是由于</w:t>
      </w:r>
      <w:r>
        <w:rPr>
          <w:rFonts w:hint="eastAsia" w:hAnsi="仿宋_GB2312" w:cs="仿宋_GB2312"/>
          <w:color w:val="auto"/>
          <w:sz w:val="30"/>
          <w:szCs w:val="30"/>
          <w:lang w:val="en-US" w:eastAsia="zh-CN"/>
        </w:rPr>
        <w:t>以往年度我单位生均公用经费为年中下达，2026年财政将一部分额度提前在年初预算下达，故</w:t>
      </w:r>
      <w:r>
        <w:rPr>
          <w:rFonts w:hint="eastAsia" w:hAnsi="仿宋_GB2312" w:cs="仿宋_GB2312"/>
          <w:color w:val="auto"/>
          <w:sz w:val="30"/>
          <w:szCs w:val="30"/>
        </w:rPr>
        <w:t>2026年一般公用经费增加；（2）财政专户管理收入增加是因为我单位预计2026年高中学生人数增加，故收取的高中学费、住宿费相应增加；（3）其他收入预算增加是由于2025年底收到师大拨款办学经费奖励，且预计2026年教师各项课题经费及幼儿园伙食费收入增加。</w:t>
      </w:r>
    </w:p>
    <w:p w14:paraId="53EABB7A">
      <w:pPr>
        <w:widowControl w:val="0"/>
        <w:jc w:val="both"/>
        <w:outlineLvl w:val="1"/>
        <w:rPr>
          <w:rFonts w:ascii="楷体_GB2312" w:eastAsia="楷体_GB2312"/>
          <w:color w:val="auto"/>
        </w:rPr>
      </w:pPr>
      <w:r>
        <w:rPr>
          <w:rFonts w:hint="eastAsia" w:ascii="楷体_GB2312" w:eastAsia="楷体_GB2312"/>
          <w:color w:val="auto"/>
        </w:rPr>
        <w:t>（二）财政拨款收入情况</w:t>
      </w:r>
    </w:p>
    <w:p w14:paraId="6F2710DB">
      <w:pPr>
        <w:widowControl w:val="0"/>
        <w:ind w:firstLine="600"/>
        <w:jc w:val="both"/>
        <w:outlineLvl w:val="2"/>
        <w:rPr>
          <w:rFonts w:hint="eastAsia" w:hAnsi="仿宋_GB2312" w:cs="仿宋_GB2312"/>
          <w:color w:val="auto"/>
          <w:sz w:val="30"/>
          <w:szCs w:val="30"/>
        </w:rPr>
      </w:pPr>
      <w:r>
        <w:rPr>
          <w:rFonts w:hint="eastAsia" w:hAnsi="仿宋_GB2312" w:cs="仿宋_GB2312"/>
          <w:color w:val="auto"/>
          <w:sz w:val="30"/>
          <w:szCs w:val="30"/>
        </w:rPr>
        <w:t>202</w:t>
      </w:r>
      <w:r>
        <w:rPr>
          <w:rFonts w:hAnsi="仿宋_GB2312" w:cs="仿宋_GB2312"/>
          <w:color w:val="auto"/>
          <w:sz w:val="30"/>
          <w:szCs w:val="30"/>
        </w:rPr>
        <w:t>6</w:t>
      </w:r>
      <w:r>
        <w:rPr>
          <w:rFonts w:hint="eastAsia" w:hAnsi="仿宋_GB2312" w:cs="仿宋_GB2312"/>
          <w:color w:val="auto"/>
          <w:sz w:val="30"/>
          <w:szCs w:val="30"/>
        </w:rPr>
        <w:t>年部门财政拨款收入92,074,415.83元，其中</w:t>
      </w:r>
      <w:r>
        <w:rPr>
          <w:rFonts w:hint="eastAsia" w:hAnsi="仿宋_GB2312" w:cs="仿宋_GB2312"/>
          <w:color w:val="auto"/>
          <w:sz w:val="30"/>
          <w:szCs w:val="30"/>
          <w:lang w:eastAsia="zh-CN"/>
        </w:rPr>
        <w:t>：</w:t>
      </w:r>
      <w:r>
        <w:rPr>
          <w:rFonts w:hint="eastAsia" w:hAnsi="仿宋_GB2312" w:cs="仿宋_GB2312"/>
          <w:color w:val="auto"/>
          <w:sz w:val="30"/>
          <w:szCs w:val="30"/>
        </w:rPr>
        <w:t>本年收入83,328,723.57元，上年结转收入8,745,692.26元。本年收入中，一般公共预算财政拨款83,328,723.57元，政府性基金预算财政拨款0.00元，国有资本经营收益财政拨款0.00元。</w:t>
      </w:r>
    </w:p>
    <w:p w14:paraId="48BEA415">
      <w:pPr>
        <w:widowControl w:val="0"/>
        <w:ind w:firstLine="600"/>
        <w:jc w:val="both"/>
        <w:outlineLvl w:val="2"/>
        <w:rPr>
          <w:rFonts w:hint="eastAsia" w:hAnsi="仿宋_GB2312" w:cs="仿宋_GB2312"/>
          <w:color w:val="auto"/>
          <w:sz w:val="30"/>
          <w:szCs w:val="30"/>
        </w:rPr>
      </w:pPr>
      <w:r>
        <w:rPr>
          <w:rFonts w:hint="eastAsia" w:hAnsi="仿宋_GB2312" w:cs="仿宋_GB2312"/>
          <w:color w:val="auto"/>
          <w:sz w:val="30"/>
          <w:szCs w:val="30"/>
        </w:rPr>
        <w:t>与上年对比部门财政拨款收入增加</w:t>
      </w:r>
      <w:bookmarkStart w:id="1" w:name="OLE_LINK6"/>
      <w:r>
        <w:rPr>
          <w:rFonts w:hint="eastAsia" w:hAnsi="仿宋_GB2312" w:cs="仿宋_GB2312"/>
          <w:color w:val="auto"/>
          <w:sz w:val="30"/>
          <w:szCs w:val="30"/>
        </w:rPr>
        <w:t>1,416,766.22</w:t>
      </w:r>
      <w:bookmarkEnd w:id="1"/>
      <w:r>
        <w:rPr>
          <w:rFonts w:hint="eastAsia" w:hAnsi="仿宋_GB2312" w:cs="仿宋_GB2312"/>
          <w:color w:val="auto"/>
          <w:sz w:val="30"/>
          <w:szCs w:val="30"/>
        </w:rPr>
        <w:t>元，其中：一般公共预算财政拨款增加1,416,766.22元。主要原因分析：由于</w:t>
      </w:r>
      <w:r>
        <w:rPr>
          <w:rFonts w:hint="eastAsia" w:hAnsi="仿宋_GB2312" w:cs="仿宋_GB2312"/>
          <w:color w:val="auto"/>
          <w:sz w:val="30"/>
          <w:szCs w:val="30"/>
          <w:lang w:val="en-US" w:eastAsia="zh-CN"/>
        </w:rPr>
        <w:t>以往年度我单位生均公用经费为年中下达，2026年财政将一部分额度提前在年初预算下达，故</w:t>
      </w:r>
      <w:r>
        <w:rPr>
          <w:rFonts w:hint="eastAsia" w:hAnsi="仿宋_GB2312" w:cs="仿宋_GB2312"/>
          <w:color w:val="auto"/>
          <w:sz w:val="30"/>
          <w:szCs w:val="30"/>
        </w:rPr>
        <w:t>2026年一般公用经费预算增加</w:t>
      </w:r>
      <w:r>
        <w:rPr>
          <w:rFonts w:hint="eastAsia" w:hAnsi="仿宋_GB2312" w:cs="仿宋_GB2312"/>
          <w:color w:val="auto"/>
          <w:sz w:val="30"/>
          <w:szCs w:val="30"/>
          <w:lang w:eastAsia="zh-CN"/>
        </w:rPr>
        <w:t>，</w:t>
      </w:r>
      <w:r>
        <w:rPr>
          <w:rFonts w:hint="eastAsia" w:hAnsi="仿宋_GB2312" w:cs="仿宋_GB2312"/>
          <w:color w:val="auto"/>
          <w:sz w:val="30"/>
          <w:szCs w:val="30"/>
          <w:lang w:val="en-US" w:eastAsia="zh-CN"/>
        </w:rPr>
        <w:t>一般公共预算财政拨款增加</w:t>
      </w:r>
      <w:r>
        <w:rPr>
          <w:rFonts w:hint="eastAsia" w:hAnsi="仿宋_GB2312" w:cs="仿宋_GB2312"/>
          <w:color w:val="auto"/>
          <w:sz w:val="30"/>
          <w:szCs w:val="30"/>
        </w:rPr>
        <w:t>。</w:t>
      </w:r>
    </w:p>
    <w:p w14:paraId="54A9A3A7">
      <w:pPr>
        <w:widowControl w:val="0"/>
        <w:jc w:val="both"/>
        <w:outlineLvl w:val="0"/>
        <w:rPr>
          <w:rFonts w:hint="eastAsia" w:ascii="黑体" w:hAnsi="黑体" w:eastAsia="黑体"/>
          <w:color w:val="auto"/>
        </w:rPr>
      </w:pPr>
      <w:r>
        <w:rPr>
          <w:rFonts w:hint="eastAsia" w:ascii="黑体" w:hAnsi="黑体" w:eastAsia="黑体"/>
          <w:color w:val="auto"/>
        </w:rPr>
        <w:t>四、预算单位支出情况</w:t>
      </w:r>
    </w:p>
    <w:p w14:paraId="0AF81856">
      <w:pPr>
        <w:widowControl w:val="0"/>
        <w:ind w:firstLine="600"/>
        <w:jc w:val="both"/>
        <w:outlineLvl w:val="2"/>
        <w:rPr>
          <w:rFonts w:hint="eastAsia" w:hAnsi="仿宋_GB2312" w:cs="仿宋_GB2312"/>
          <w:color w:val="auto"/>
          <w:sz w:val="30"/>
          <w:szCs w:val="30"/>
        </w:rPr>
      </w:pPr>
      <w:r>
        <w:rPr>
          <w:rFonts w:hint="eastAsia" w:hAnsi="仿宋_GB2312" w:cs="仿宋_GB2312"/>
          <w:color w:val="auto"/>
          <w:sz w:val="30"/>
          <w:szCs w:val="30"/>
        </w:rPr>
        <w:t>202</w:t>
      </w:r>
      <w:r>
        <w:rPr>
          <w:rFonts w:hAnsi="仿宋_GB2312" w:cs="仿宋_GB2312"/>
          <w:color w:val="auto"/>
          <w:sz w:val="30"/>
          <w:szCs w:val="30"/>
        </w:rPr>
        <w:t>6</w:t>
      </w:r>
      <w:r>
        <w:rPr>
          <w:rFonts w:hint="eastAsia" w:hAnsi="仿宋_GB2312" w:cs="仿宋_GB2312"/>
          <w:color w:val="auto"/>
          <w:sz w:val="30"/>
          <w:szCs w:val="30"/>
        </w:rPr>
        <w:t>年部门预算总支出106,112,415.83元。财政拨款安排支出92,074,415.83元，其中：基本支出75,991,523.57元，与上年对比增加3,602,416.79元，主要原因分析：</w:t>
      </w:r>
      <w:r>
        <w:rPr>
          <w:rFonts w:hint="eastAsia" w:hAnsi="仿宋_GB2312" w:cs="仿宋_GB2312"/>
          <w:color w:val="auto"/>
          <w:sz w:val="30"/>
          <w:szCs w:val="30"/>
          <w:lang w:val="en-US" w:eastAsia="zh-CN"/>
        </w:rPr>
        <w:t>以往年度我单位生均公用经费为年中下达，</w:t>
      </w:r>
      <w:r>
        <w:rPr>
          <w:rFonts w:hint="eastAsia" w:hAnsi="仿宋_GB2312" w:cs="仿宋_GB2312"/>
          <w:color w:val="auto"/>
          <w:sz w:val="30"/>
          <w:szCs w:val="30"/>
        </w:rPr>
        <w:t>为保障单位基本运转，2026年公用经费额度提前</w:t>
      </w:r>
      <w:r>
        <w:rPr>
          <w:rFonts w:hint="eastAsia" w:hAnsi="仿宋_GB2312" w:cs="仿宋_GB2312"/>
          <w:color w:val="auto"/>
          <w:sz w:val="30"/>
          <w:szCs w:val="30"/>
          <w:lang w:val="en-US" w:eastAsia="zh-CN"/>
        </w:rPr>
        <w:t>在年初预算</w:t>
      </w:r>
      <w:r>
        <w:rPr>
          <w:rFonts w:hint="eastAsia" w:hAnsi="仿宋_GB2312" w:cs="仿宋_GB2312"/>
          <w:color w:val="auto"/>
          <w:sz w:val="30"/>
          <w:szCs w:val="30"/>
        </w:rPr>
        <w:t>下拨，故一般公用经费项目资金增加；项目支出16,082,892.26元，与上年对比减少2,185,650.57元，主要原因分析：相较2024年结转的基础教育综合奖补项目法分配资金，我单位2025年年底结转的中央奖补项目资金较少。</w:t>
      </w:r>
    </w:p>
    <w:p w14:paraId="6ACA4679">
      <w:pPr>
        <w:widowControl w:val="0"/>
        <w:ind w:firstLine="600"/>
        <w:jc w:val="both"/>
        <w:outlineLvl w:val="2"/>
        <w:rPr>
          <w:rFonts w:hint="eastAsia" w:hAnsi="仿宋_GB2312" w:cs="仿宋_GB2312"/>
          <w:color w:val="auto"/>
          <w:sz w:val="30"/>
          <w:szCs w:val="30"/>
        </w:rPr>
      </w:pPr>
      <w:r>
        <w:rPr>
          <w:rFonts w:hint="eastAsia" w:hAnsi="仿宋_GB2312" w:cs="仿宋_GB2312"/>
          <w:color w:val="auto"/>
          <w:sz w:val="30"/>
          <w:szCs w:val="30"/>
        </w:rPr>
        <w:t>财政拨款安排支出按功能科目分类情况</w:t>
      </w:r>
    </w:p>
    <w:p w14:paraId="6CFE88BD">
      <w:pPr>
        <w:widowControl w:val="0"/>
        <w:ind w:firstLine="600"/>
        <w:jc w:val="both"/>
        <w:outlineLvl w:val="2"/>
        <w:rPr>
          <w:rFonts w:hint="eastAsia" w:hAnsi="仿宋_GB2312" w:cs="仿宋_GB2312"/>
          <w:color w:val="auto"/>
          <w:sz w:val="30"/>
          <w:szCs w:val="30"/>
        </w:rPr>
      </w:pPr>
      <w:r>
        <w:rPr>
          <w:rFonts w:hint="eastAsia" w:hAnsi="仿宋_GB2312" w:cs="仿宋_GB2312"/>
          <w:color w:val="auto"/>
          <w:sz w:val="30"/>
          <w:szCs w:val="30"/>
        </w:rPr>
        <w:t>教育支出</w:t>
      </w:r>
      <w:r>
        <w:rPr>
          <w:rFonts w:hint="eastAsia" w:hAnsi="仿宋_GB2312" w:cs="仿宋_GB2312"/>
          <w:color w:val="auto"/>
          <w:sz w:val="30"/>
          <w:szCs w:val="30"/>
          <w:lang w:eastAsia="zh-CN"/>
        </w:rPr>
        <w:t>－</w:t>
      </w:r>
      <w:r>
        <w:rPr>
          <w:rFonts w:hint="eastAsia" w:hAnsi="仿宋_GB2312" w:cs="仿宋_GB2312"/>
          <w:color w:val="auto"/>
          <w:sz w:val="30"/>
          <w:szCs w:val="30"/>
        </w:rPr>
        <w:t>普通教育</w:t>
      </w:r>
      <w:r>
        <w:rPr>
          <w:rFonts w:hint="eastAsia" w:hAnsi="仿宋_GB2312" w:cs="仿宋_GB2312"/>
          <w:color w:val="auto"/>
          <w:sz w:val="30"/>
          <w:szCs w:val="30"/>
          <w:lang w:eastAsia="zh-CN"/>
        </w:rPr>
        <w:t>－</w:t>
      </w:r>
      <w:r>
        <w:rPr>
          <w:rFonts w:hint="eastAsia" w:hAnsi="仿宋_GB2312" w:cs="仿宋_GB2312"/>
          <w:color w:val="auto"/>
          <w:sz w:val="30"/>
          <w:szCs w:val="30"/>
        </w:rPr>
        <w:t>学前教育1,875,596.60元，主要用于幼儿园日常运转、维修维护。</w:t>
      </w:r>
    </w:p>
    <w:p w14:paraId="7BD0B35E">
      <w:pPr>
        <w:widowControl w:val="0"/>
        <w:ind w:firstLine="600"/>
        <w:jc w:val="both"/>
        <w:outlineLvl w:val="2"/>
        <w:rPr>
          <w:rFonts w:hint="eastAsia" w:hAnsi="仿宋_GB2312" w:cs="仿宋_GB2312"/>
          <w:color w:val="auto"/>
          <w:sz w:val="30"/>
          <w:szCs w:val="30"/>
        </w:rPr>
      </w:pPr>
      <w:r>
        <w:rPr>
          <w:rFonts w:hint="eastAsia" w:hAnsi="仿宋_GB2312" w:cs="仿宋_GB2312"/>
          <w:color w:val="auto"/>
          <w:sz w:val="30"/>
          <w:szCs w:val="30"/>
        </w:rPr>
        <w:t>教育支出</w:t>
      </w:r>
      <w:r>
        <w:rPr>
          <w:rFonts w:hint="eastAsia" w:hAnsi="仿宋_GB2312" w:cs="仿宋_GB2312"/>
          <w:color w:val="auto"/>
          <w:sz w:val="30"/>
          <w:szCs w:val="30"/>
          <w:lang w:eastAsia="zh-CN"/>
        </w:rPr>
        <w:t>－</w:t>
      </w:r>
      <w:r>
        <w:rPr>
          <w:rFonts w:hint="eastAsia" w:hAnsi="仿宋_GB2312" w:cs="仿宋_GB2312"/>
          <w:color w:val="auto"/>
          <w:sz w:val="30"/>
          <w:szCs w:val="30"/>
        </w:rPr>
        <w:t>普通教育</w:t>
      </w:r>
      <w:r>
        <w:rPr>
          <w:rFonts w:hint="eastAsia" w:hAnsi="仿宋_GB2312" w:cs="仿宋_GB2312"/>
          <w:color w:val="auto"/>
          <w:sz w:val="30"/>
          <w:szCs w:val="30"/>
          <w:lang w:eastAsia="zh-CN"/>
        </w:rPr>
        <w:t>－</w:t>
      </w:r>
      <w:r>
        <w:rPr>
          <w:rFonts w:hint="eastAsia" w:hAnsi="仿宋_GB2312" w:cs="仿宋_GB2312"/>
          <w:color w:val="auto"/>
          <w:sz w:val="30"/>
          <w:szCs w:val="30"/>
        </w:rPr>
        <w:t>小学教育</w:t>
      </w:r>
      <w:r>
        <w:rPr>
          <w:rFonts w:hAnsi="仿宋_GB2312" w:cs="仿宋_GB2312"/>
          <w:color w:val="auto"/>
          <w:sz w:val="30"/>
          <w:szCs w:val="30"/>
        </w:rPr>
        <w:t>71,325,356.26元，主要用于</w:t>
      </w:r>
      <w:r>
        <w:rPr>
          <w:rFonts w:hint="eastAsia" w:hAnsi="仿宋_GB2312" w:cs="仿宋_GB2312"/>
          <w:color w:val="auto"/>
          <w:sz w:val="30"/>
          <w:szCs w:val="30"/>
        </w:rPr>
        <w:t>开支保障学校正常运转的工资福利支出和公用经费。</w:t>
      </w:r>
    </w:p>
    <w:p w14:paraId="107E0EF8">
      <w:pPr>
        <w:widowControl w:val="0"/>
        <w:ind w:firstLine="600"/>
        <w:jc w:val="both"/>
        <w:outlineLvl w:val="2"/>
        <w:rPr>
          <w:rFonts w:hint="eastAsia" w:hAnsi="仿宋_GB2312" w:cs="仿宋_GB2312"/>
          <w:color w:val="auto"/>
          <w:sz w:val="30"/>
          <w:szCs w:val="30"/>
        </w:rPr>
      </w:pPr>
      <w:r>
        <w:rPr>
          <w:rFonts w:hint="eastAsia" w:hAnsi="仿宋_GB2312" w:cs="仿宋_GB2312"/>
          <w:color w:val="auto"/>
          <w:sz w:val="30"/>
          <w:szCs w:val="30"/>
        </w:rPr>
        <w:t>教育支出</w:t>
      </w:r>
      <w:r>
        <w:rPr>
          <w:rFonts w:hint="eastAsia" w:hAnsi="仿宋_GB2312" w:cs="仿宋_GB2312"/>
          <w:color w:val="auto"/>
          <w:sz w:val="30"/>
          <w:szCs w:val="30"/>
          <w:lang w:eastAsia="zh-CN"/>
        </w:rPr>
        <w:t>－</w:t>
      </w:r>
      <w:r>
        <w:rPr>
          <w:rFonts w:hint="eastAsia" w:hAnsi="仿宋_GB2312" w:cs="仿宋_GB2312"/>
          <w:color w:val="auto"/>
          <w:sz w:val="30"/>
          <w:szCs w:val="30"/>
        </w:rPr>
        <w:t>普通教育</w:t>
      </w:r>
      <w:r>
        <w:rPr>
          <w:rFonts w:hint="eastAsia" w:hAnsi="仿宋_GB2312" w:cs="仿宋_GB2312"/>
          <w:color w:val="auto"/>
          <w:sz w:val="30"/>
          <w:szCs w:val="30"/>
          <w:lang w:eastAsia="zh-CN"/>
        </w:rPr>
        <w:t>－</w:t>
      </w:r>
      <w:r>
        <w:rPr>
          <w:rFonts w:hint="eastAsia" w:hAnsi="仿宋_GB2312" w:cs="仿宋_GB2312"/>
          <w:color w:val="auto"/>
          <w:sz w:val="30"/>
          <w:szCs w:val="30"/>
        </w:rPr>
        <w:t>高中教育</w:t>
      </w:r>
      <w:r>
        <w:rPr>
          <w:rFonts w:hAnsi="仿宋_GB2312" w:cs="仿宋_GB2312"/>
          <w:color w:val="auto"/>
          <w:sz w:val="30"/>
          <w:szCs w:val="30"/>
        </w:rPr>
        <w:t>94,592.44元，主要用于</w:t>
      </w:r>
      <w:r>
        <w:rPr>
          <w:rFonts w:hint="eastAsia" w:hAnsi="仿宋_GB2312" w:cs="仿宋_GB2312"/>
          <w:color w:val="auto"/>
          <w:sz w:val="30"/>
          <w:szCs w:val="30"/>
        </w:rPr>
        <w:t>高中教室、运动场地的维修维护。</w:t>
      </w:r>
    </w:p>
    <w:p w14:paraId="4F10F046">
      <w:pPr>
        <w:widowControl w:val="0"/>
        <w:ind w:firstLine="600"/>
        <w:jc w:val="both"/>
        <w:outlineLvl w:val="2"/>
        <w:rPr>
          <w:rFonts w:hint="eastAsia" w:hAnsi="仿宋_GB2312" w:cs="仿宋_GB2312"/>
          <w:color w:val="auto"/>
          <w:sz w:val="30"/>
          <w:szCs w:val="30"/>
        </w:rPr>
      </w:pPr>
      <w:r>
        <w:rPr>
          <w:rFonts w:hint="eastAsia" w:hAnsi="仿宋_GB2312" w:cs="仿宋_GB2312"/>
          <w:color w:val="auto"/>
          <w:sz w:val="30"/>
          <w:szCs w:val="30"/>
        </w:rPr>
        <w:t>社会保障和就业支出</w:t>
      </w:r>
      <w:r>
        <w:rPr>
          <w:rFonts w:hint="eastAsia" w:hAnsi="仿宋_GB2312" w:cs="仿宋_GB2312"/>
          <w:color w:val="auto"/>
          <w:sz w:val="30"/>
          <w:szCs w:val="30"/>
          <w:lang w:eastAsia="zh-CN"/>
        </w:rPr>
        <w:t>－</w:t>
      </w:r>
      <w:r>
        <w:rPr>
          <w:rFonts w:hint="eastAsia" w:hAnsi="仿宋_GB2312" w:cs="仿宋_GB2312"/>
          <w:color w:val="auto"/>
          <w:sz w:val="30"/>
          <w:szCs w:val="30"/>
        </w:rPr>
        <w:t>行政事业单位养老支出</w:t>
      </w:r>
      <w:r>
        <w:rPr>
          <w:rFonts w:hint="eastAsia" w:hAnsi="仿宋_GB2312" w:cs="仿宋_GB2312"/>
          <w:color w:val="auto"/>
          <w:sz w:val="30"/>
          <w:szCs w:val="30"/>
          <w:lang w:eastAsia="zh-CN"/>
        </w:rPr>
        <w:t>－</w:t>
      </w:r>
      <w:r>
        <w:rPr>
          <w:rFonts w:hint="eastAsia" w:hAnsi="仿宋_GB2312" w:cs="仿宋_GB2312"/>
          <w:color w:val="auto"/>
          <w:sz w:val="30"/>
          <w:szCs w:val="30"/>
        </w:rPr>
        <w:t>事业单位离退休</w:t>
      </w:r>
      <w:r>
        <w:rPr>
          <w:rFonts w:hAnsi="仿宋_GB2312" w:cs="仿宋_GB2312"/>
          <w:color w:val="auto"/>
          <w:sz w:val="30"/>
          <w:szCs w:val="30"/>
        </w:rPr>
        <w:t>24,840.00元，主要用于</w:t>
      </w:r>
      <w:r>
        <w:rPr>
          <w:rFonts w:hint="eastAsia" w:hAnsi="仿宋_GB2312" w:cs="仿宋_GB2312"/>
          <w:color w:val="auto"/>
          <w:sz w:val="30"/>
          <w:szCs w:val="30"/>
        </w:rPr>
        <w:t>开支离退休公用经费。</w:t>
      </w:r>
    </w:p>
    <w:p w14:paraId="57DE7F66">
      <w:pPr>
        <w:widowControl w:val="0"/>
        <w:ind w:firstLine="600"/>
        <w:jc w:val="both"/>
        <w:outlineLvl w:val="2"/>
        <w:rPr>
          <w:rFonts w:hint="eastAsia" w:hAnsi="仿宋_GB2312" w:cs="仿宋_GB2312"/>
          <w:color w:val="auto"/>
          <w:sz w:val="30"/>
          <w:szCs w:val="30"/>
        </w:rPr>
      </w:pPr>
      <w:r>
        <w:rPr>
          <w:rFonts w:hint="eastAsia" w:hAnsi="仿宋_GB2312" w:cs="仿宋_GB2312"/>
          <w:color w:val="auto"/>
          <w:sz w:val="30"/>
          <w:szCs w:val="30"/>
        </w:rPr>
        <w:t>社会保障和就业支出</w:t>
      </w:r>
      <w:r>
        <w:rPr>
          <w:rFonts w:hint="eastAsia" w:hAnsi="仿宋_GB2312" w:cs="仿宋_GB2312"/>
          <w:color w:val="auto"/>
          <w:sz w:val="30"/>
          <w:szCs w:val="30"/>
          <w:lang w:eastAsia="zh-CN"/>
        </w:rPr>
        <w:t>－</w:t>
      </w:r>
      <w:r>
        <w:rPr>
          <w:rFonts w:hint="eastAsia" w:hAnsi="仿宋_GB2312" w:cs="仿宋_GB2312"/>
          <w:color w:val="auto"/>
          <w:sz w:val="30"/>
          <w:szCs w:val="30"/>
        </w:rPr>
        <w:t>行政事业单位养老支出</w:t>
      </w:r>
      <w:r>
        <w:rPr>
          <w:rFonts w:hint="eastAsia" w:hAnsi="仿宋_GB2312" w:cs="仿宋_GB2312"/>
          <w:color w:val="auto"/>
          <w:sz w:val="30"/>
          <w:szCs w:val="30"/>
          <w:lang w:eastAsia="zh-CN"/>
        </w:rPr>
        <w:t>－</w:t>
      </w:r>
      <w:r>
        <w:rPr>
          <w:rFonts w:hint="eastAsia" w:hAnsi="仿宋_GB2312" w:cs="仿宋_GB2312"/>
          <w:color w:val="auto"/>
          <w:sz w:val="30"/>
          <w:szCs w:val="30"/>
        </w:rPr>
        <w:t>机关事业单位基本养老保险缴费支出</w:t>
      </w:r>
      <w:r>
        <w:rPr>
          <w:rFonts w:hAnsi="仿宋_GB2312" w:cs="仿宋_GB2312"/>
          <w:color w:val="auto"/>
          <w:sz w:val="30"/>
          <w:szCs w:val="30"/>
        </w:rPr>
        <w:t>6,895,694.23元，主要用于</w:t>
      </w:r>
      <w:r>
        <w:rPr>
          <w:rFonts w:hint="eastAsia" w:hAnsi="仿宋_GB2312" w:cs="仿宋_GB2312"/>
          <w:color w:val="auto"/>
          <w:sz w:val="30"/>
          <w:szCs w:val="30"/>
        </w:rPr>
        <w:t>缴纳单位承担部分基本养老保险。</w:t>
      </w:r>
    </w:p>
    <w:p w14:paraId="0DCA6152">
      <w:pPr>
        <w:widowControl w:val="0"/>
        <w:ind w:firstLine="600"/>
        <w:jc w:val="both"/>
        <w:outlineLvl w:val="2"/>
        <w:rPr>
          <w:rFonts w:hint="eastAsia" w:hAnsi="仿宋_GB2312" w:cs="仿宋_GB2312"/>
          <w:color w:val="auto"/>
          <w:sz w:val="30"/>
          <w:szCs w:val="30"/>
        </w:rPr>
      </w:pPr>
      <w:r>
        <w:rPr>
          <w:rFonts w:hint="eastAsia" w:hAnsi="仿宋_GB2312" w:cs="仿宋_GB2312"/>
          <w:color w:val="auto"/>
          <w:sz w:val="30"/>
          <w:szCs w:val="30"/>
        </w:rPr>
        <w:t>社会保障和就业支出</w:t>
      </w:r>
      <w:r>
        <w:rPr>
          <w:rFonts w:hint="eastAsia" w:hAnsi="仿宋_GB2312" w:cs="仿宋_GB2312"/>
          <w:color w:val="auto"/>
          <w:sz w:val="30"/>
          <w:szCs w:val="30"/>
          <w:lang w:eastAsia="zh-CN"/>
        </w:rPr>
        <w:t>－</w:t>
      </w:r>
      <w:r>
        <w:rPr>
          <w:rFonts w:hint="eastAsia" w:hAnsi="仿宋_GB2312" w:cs="仿宋_GB2312"/>
          <w:color w:val="auto"/>
          <w:sz w:val="30"/>
          <w:szCs w:val="30"/>
        </w:rPr>
        <w:t>其他社会保障和就业支出</w:t>
      </w:r>
      <w:r>
        <w:rPr>
          <w:rFonts w:hint="eastAsia" w:hAnsi="仿宋_GB2312" w:cs="仿宋_GB2312"/>
          <w:color w:val="auto"/>
          <w:sz w:val="30"/>
          <w:szCs w:val="30"/>
          <w:lang w:eastAsia="zh-CN"/>
        </w:rPr>
        <w:t>－</w:t>
      </w:r>
      <w:r>
        <w:rPr>
          <w:rFonts w:hint="eastAsia" w:hAnsi="仿宋_GB2312" w:cs="仿宋_GB2312"/>
          <w:color w:val="auto"/>
          <w:sz w:val="30"/>
          <w:szCs w:val="30"/>
        </w:rPr>
        <w:t>其他社会保障和就业支出</w:t>
      </w:r>
      <w:r>
        <w:rPr>
          <w:rFonts w:hAnsi="仿宋_GB2312" w:cs="仿宋_GB2312"/>
          <w:color w:val="auto"/>
          <w:sz w:val="30"/>
          <w:szCs w:val="30"/>
        </w:rPr>
        <w:t>339,494.85元，主要用于</w:t>
      </w:r>
      <w:r>
        <w:rPr>
          <w:rFonts w:hint="eastAsia" w:hAnsi="仿宋_GB2312" w:cs="仿宋_GB2312"/>
          <w:color w:val="auto"/>
          <w:sz w:val="30"/>
          <w:szCs w:val="30"/>
        </w:rPr>
        <w:t>缴纳其他社会保险。</w:t>
      </w:r>
    </w:p>
    <w:p w14:paraId="28044488">
      <w:pPr>
        <w:widowControl w:val="0"/>
        <w:ind w:firstLine="600"/>
        <w:jc w:val="both"/>
        <w:outlineLvl w:val="2"/>
        <w:rPr>
          <w:rFonts w:hint="eastAsia" w:hAnsi="仿宋_GB2312" w:cs="仿宋_GB2312"/>
          <w:color w:val="auto"/>
          <w:sz w:val="30"/>
          <w:szCs w:val="30"/>
        </w:rPr>
      </w:pPr>
      <w:r>
        <w:rPr>
          <w:rFonts w:hint="eastAsia" w:hAnsi="仿宋_GB2312" w:cs="仿宋_GB2312"/>
          <w:color w:val="auto"/>
          <w:sz w:val="30"/>
          <w:szCs w:val="30"/>
        </w:rPr>
        <w:t>卫生健康支出</w:t>
      </w:r>
      <w:r>
        <w:rPr>
          <w:rFonts w:hint="eastAsia" w:hAnsi="仿宋_GB2312" w:cs="仿宋_GB2312"/>
          <w:color w:val="auto"/>
          <w:sz w:val="30"/>
          <w:szCs w:val="30"/>
          <w:lang w:eastAsia="zh-CN"/>
        </w:rPr>
        <w:t>－</w:t>
      </w:r>
      <w:r>
        <w:rPr>
          <w:rFonts w:hint="eastAsia" w:hAnsi="仿宋_GB2312" w:cs="仿宋_GB2312"/>
          <w:color w:val="auto"/>
          <w:sz w:val="30"/>
          <w:szCs w:val="30"/>
        </w:rPr>
        <w:t>行政事业单位医疗</w:t>
      </w:r>
      <w:r>
        <w:rPr>
          <w:rFonts w:hint="eastAsia" w:hAnsi="仿宋_GB2312" w:cs="仿宋_GB2312"/>
          <w:color w:val="auto"/>
          <w:sz w:val="30"/>
          <w:szCs w:val="30"/>
          <w:lang w:eastAsia="zh-CN"/>
        </w:rPr>
        <w:t>－</w:t>
      </w:r>
      <w:r>
        <w:rPr>
          <w:rFonts w:hint="eastAsia" w:hAnsi="仿宋_GB2312" w:cs="仿宋_GB2312"/>
          <w:color w:val="auto"/>
          <w:sz w:val="30"/>
          <w:szCs w:val="30"/>
        </w:rPr>
        <w:t>事业单位医疗</w:t>
      </w:r>
      <w:r>
        <w:rPr>
          <w:rFonts w:hAnsi="仿宋_GB2312" w:cs="仿宋_GB2312"/>
          <w:color w:val="auto"/>
          <w:sz w:val="30"/>
          <w:szCs w:val="30"/>
        </w:rPr>
        <w:t>4,309,808.90元，主要用于</w:t>
      </w:r>
      <w:r>
        <w:rPr>
          <w:rFonts w:hint="eastAsia" w:hAnsi="仿宋_GB2312" w:cs="仿宋_GB2312"/>
          <w:color w:val="auto"/>
          <w:sz w:val="30"/>
          <w:szCs w:val="30"/>
        </w:rPr>
        <w:t>缴纳单位承担部分医疗保险。</w:t>
      </w:r>
    </w:p>
    <w:p w14:paraId="46C5E2A8">
      <w:pPr>
        <w:widowControl w:val="0"/>
        <w:ind w:firstLine="600"/>
        <w:jc w:val="both"/>
        <w:outlineLvl w:val="2"/>
        <w:rPr>
          <w:rFonts w:hint="eastAsia" w:hAnsi="仿宋_GB2312" w:cs="仿宋_GB2312"/>
          <w:color w:val="auto"/>
          <w:sz w:val="30"/>
          <w:szCs w:val="30"/>
        </w:rPr>
      </w:pPr>
      <w:r>
        <w:rPr>
          <w:rFonts w:hint="eastAsia" w:hAnsi="仿宋_GB2312" w:cs="仿宋_GB2312"/>
          <w:color w:val="auto"/>
          <w:sz w:val="30"/>
          <w:szCs w:val="30"/>
        </w:rPr>
        <w:t>卫生健康支出</w:t>
      </w:r>
      <w:r>
        <w:rPr>
          <w:rFonts w:hint="eastAsia" w:hAnsi="仿宋_GB2312" w:cs="仿宋_GB2312"/>
          <w:color w:val="auto"/>
          <w:sz w:val="30"/>
          <w:szCs w:val="30"/>
          <w:lang w:eastAsia="zh-CN"/>
        </w:rPr>
        <w:t>－</w:t>
      </w:r>
      <w:r>
        <w:rPr>
          <w:rFonts w:hint="eastAsia" w:hAnsi="仿宋_GB2312" w:cs="仿宋_GB2312"/>
          <w:color w:val="auto"/>
          <w:sz w:val="30"/>
          <w:szCs w:val="30"/>
        </w:rPr>
        <w:t>行政事业单位医疗</w:t>
      </w:r>
      <w:r>
        <w:rPr>
          <w:rFonts w:hint="eastAsia" w:hAnsi="仿宋_GB2312" w:cs="仿宋_GB2312"/>
          <w:color w:val="auto"/>
          <w:sz w:val="30"/>
          <w:szCs w:val="30"/>
          <w:lang w:eastAsia="zh-CN"/>
        </w:rPr>
        <w:t>－</w:t>
      </w:r>
      <w:r>
        <w:rPr>
          <w:rFonts w:hint="eastAsia" w:hAnsi="仿宋_GB2312" w:cs="仿宋_GB2312"/>
          <w:color w:val="auto"/>
          <w:sz w:val="30"/>
          <w:szCs w:val="30"/>
        </w:rPr>
        <w:t>公务员医疗补助</w:t>
      </w:r>
      <w:r>
        <w:rPr>
          <w:rFonts w:hAnsi="仿宋_GB2312" w:cs="仿宋_GB2312"/>
          <w:color w:val="auto"/>
          <w:sz w:val="30"/>
          <w:szCs w:val="30"/>
        </w:rPr>
        <w:t>2,194,991.20元，主要用于</w:t>
      </w:r>
      <w:r>
        <w:rPr>
          <w:rFonts w:hint="eastAsia" w:hAnsi="仿宋_GB2312" w:cs="仿宋_GB2312"/>
          <w:color w:val="auto"/>
          <w:sz w:val="30"/>
          <w:szCs w:val="30"/>
        </w:rPr>
        <w:t>缴纳公务员医疗补助。</w:t>
      </w:r>
    </w:p>
    <w:p w14:paraId="30952B49">
      <w:pPr>
        <w:widowControl w:val="0"/>
        <w:ind w:firstLine="600"/>
        <w:jc w:val="both"/>
        <w:outlineLvl w:val="2"/>
        <w:rPr>
          <w:rFonts w:hint="eastAsia" w:hAnsi="仿宋_GB2312" w:cs="仿宋_GB2312"/>
          <w:color w:val="auto"/>
          <w:sz w:val="30"/>
          <w:szCs w:val="30"/>
        </w:rPr>
      </w:pPr>
      <w:r>
        <w:rPr>
          <w:rFonts w:hint="eastAsia" w:hAnsi="仿宋_GB2312" w:cs="仿宋_GB2312"/>
          <w:color w:val="auto"/>
          <w:sz w:val="30"/>
          <w:szCs w:val="30"/>
        </w:rPr>
        <w:t>卫生健康支出</w:t>
      </w:r>
      <w:r>
        <w:rPr>
          <w:rFonts w:hint="eastAsia" w:hAnsi="仿宋_GB2312" w:cs="仿宋_GB2312"/>
          <w:color w:val="auto"/>
          <w:sz w:val="30"/>
          <w:szCs w:val="30"/>
          <w:lang w:eastAsia="zh-CN"/>
        </w:rPr>
        <w:t>－</w:t>
      </w:r>
      <w:r>
        <w:rPr>
          <w:rFonts w:hint="eastAsia" w:hAnsi="仿宋_GB2312" w:cs="仿宋_GB2312"/>
          <w:color w:val="auto"/>
          <w:sz w:val="30"/>
          <w:szCs w:val="30"/>
        </w:rPr>
        <w:t>行政事业单位医疗</w:t>
      </w:r>
      <w:r>
        <w:rPr>
          <w:rFonts w:hint="eastAsia" w:hAnsi="仿宋_GB2312" w:cs="仿宋_GB2312"/>
          <w:color w:val="auto"/>
          <w:sz w:val="30"/>
          <w:szCs w:val="30"/>
          <w:lang w:eastAsia="zh-CN"/>
        </w:rPr>
        <w:t>－</w:t>
      </w:r>
      <w:r>
        <w:rPr>
          <w:rFonts w:hint="eastAsia" w:hAnsi="仿宋_GB2312" w:cs="仿宋_GB2312"/>
          <w:color w:val="auto"/>
          <w:sz w:val="30"/>
          <w:szCs w:val="30"/>
        </w:rPr>
        <w:t>其他行政事业单位医疗支出</w:t>
      </w:r>
      <w:r>
        <w:rPr>
          <w:rFonts w:hAnsi="仿宋_GB2312" w:cs="仿宋_GB2312"/>
          <w:color w:val="auto"/>
          <w:sz w:val="30"/>
          <w:szCs w:val="30"/>
        </w:rPr>
        <w:t>152,334.00元，主要用于</w:t>
      </w:r>
      <w:r>
        <w:rPr>
          <w:rFonts w:hint="eastAsia" w:hAnsi="仿宋_GB2312" w:cs="仿宋_GB2312"/>
          <w:color w:val="auto"/>
          <w:sz w:val="30"/>
          <w:szCs w:val="30"/>
        </w:rPr>
        <w:t>缴纳其他医疗保险。</w:t>
      </w:r>
    </w:p>
    <w:p w14:paraId="65AA6AB5">
      <w:pPr>
        <w:widowControl w:val="0"/>
        <w:ind w:firstLine="600"/>
        <w:jc w:val="both"/>
        <w:outlineLvl w:val="2"/>
        <w:rPr>
          <w:rFonts w:hint="eastAsia" w:hAnsi="仿宋_GB2312" w:cs="仿宋_GB2312"/>
          <w:color w:val="auto"/>
          <w:sz w:val="30"/>
          <w:szCs w:val="30"/>
        </w:rPr>
      </w:pPr>
      <w:r>
        <w:rPr>
          <w:rFonts w:hint="eastAsia" w:hAnsi="仿宋_GB2312" w:cs="仿宋_GB2312"/>
          <w:color w:val="auto"/>
          <w:sz w:val="30"/>
          <w:szCs w:val="30"/>
        </w:rPr>
        <w:t>住房保障支出</w:t>
      </w:r>
      <w:r>
        <w:rPr>
          <w:rFonts w:hint="eastAsia" w:hAnsi="仿宋_GB2312" w:cs="仿宋_GB2312"/>
          <w:color w:val="auto"/>
          <w:sz w:val="30"/>
          <w:szCs w:val="30"/>
          <w:lang w:eastAsia="zh-CN"/>
        </w:rPr>
        <w:t>－</w:t>
      </w:r>
      <w:r>
        <w:rPr>
          <w:rFonts w:hint="eastAsia" w:hAnsi="仿宋_GB2312" w:cs="仿宋_GB2312"/>
          <w:color w:val="auto"/>
          <w:sz w:val="30"/>
          <w:szCs w:val="30"/>
        </w:rPr>
        <w:t>住房改革支出</w:t>
      </w:r>
      <w:r>
        <w:rPr>
          <w:rFonts w:hint="eastAsia" w:hAnsi="仿宋_GB2312" w:cs="仿宋_GB2312"/>
          <w:color w:val="auto"/>
          <w:sz w:val="30"/>
          <w:szCs w:val="30"/>
          <w:lang w:eastAsia="zh-CN"/>
        </w:rPr>
        <w:t>－</w:t>
      </w:r>
      <w:r>
        <w:rPr>
          <w:rFonts w:hint="eastAsia" w:hAnsi="仿宋_GB2312" w:cs="仿宋_GB2312"/>
          <w:color w:val="auto"/>
          <w:sz w:val="30"/>
          <w:szCs w:val="30"/>
        </w:rPr>
        <w:t>住房公积金</w:t>
      </w:r>
      <w:r>
        <w:rPr>
          <w:rFonts w:hAnsi="仿宋_GB2312" w:cs="仿宋_GB2312"/>
          <w:color w:val="auto"/>
          <w:sz w:val="30"/>
          <w:szCs w:val="30"/>
        </w:rPr>
        <w:t>4,861,707.35元，主要用于</w:t>
      </w:r>
      <w:r>
        <w:rPr>
          <w:rFonts w:hint="eastAsia" w:hAnsi="仿宋_GB2312" w:cs="仿宋_GB2312"/>
          <w:color w:val="auto"/>
          <w:sz w:val="30"/>
          <w:szCs w:val="30"/>
        </w:rPr>
        <w:t>缴纳职工住房公积金。</w:t>
      </w:r>
    </w:p>
    <w:p w14:paraId="55CC7DC4">
      <w:pPr>
        <w:widowControl w:val="0"/>
        <w:numPr>
          <w:ilvl w:val="0"/>
          <w:numId w:val="0"/>
        </w:numPr>
        <w:ind w:firstLine="640" w:firstLineChars="200"/>
        <w:jc w:val="both"/>
        <w:outlineLvl w:val="0"/>
        <w:rPr>
          <w:rFonts w:hint="eastAsia" w:ascii="黑体" w:hAnsi="黑体" w:eastAsia="黑体"/>
          <w:color w:val="auto"/>
        </w:rPr>
      </w:pPr>
      <w:r>
        <w:rPr>
          <w:rFonts w:hint="eastAsia" w:ascii="黑体" w:hAnsi="黑体" w:eastAsia="黑体"/>
          <w:color w:val="auto"/>
          <w:lang w:val="en-US" w:eastAsia="zh-CN"/>
        </w:rPr>
        <w:t>五、</w:t>
      </w:r>
      <w:r>
        <w:rPr>
          <w:rFonts w:hint="eastAsia" w:ascii="黑体" w:hAnsi="黑体" w:eastAsia="黑体"/>
          <w:color w:val="auto"/>
        </w:rPr>
        <w:t>省对下专项转移支付情况</w:t>
      </w:r>
    </w:p>
    <w:p w14:paraId="13FE19B5">
      <w:pPr>
        <w:widowControl w:val="0"/>
        <w:ind w:firstLine="600"/>
        <w:jc w:val="both"/>
        <w:outlineLvl w:val="2"/>
        <w:rPr>
          <w:rFonts w:hint="eastAsia" w:hAnsi="仿宋_GB2312" w:cs="仿宋_GB2312"/>
          <w:color w:val="auto"/>
          <w:sz w:val="30"/>
          <w:szCs w:val="30"/>
        </w:rPr>
      </w:pPr>
      <w:r>
        <w:rPr>
          <w:rFonts w:hint="eastAsia" w:hAnsi="仿宋_GB2312" w:cs="仿宋_GB2312"/>
          <w:color w:val="auto"/>
          <w:sz w:val="30"/>
          <w:szCs w:val="30"/>
        </w:rPr>
        <w:t>我校列入省对下专项转移支付项目金额0.00元，无省对下专项转移支付情况。</w:t>
      </w:r>
    </w:p>
    <w:p w14:paraId="162D0322">
      <w:pPr>
        <w:widowControl w:val="0"/>
        <w:ind w:firstLine="600"/>
        <w:jc w:val="both"/>
        <w:outlineLvl w:val="2"/>
        <w:rPr>
          <w:rFonts w:hint="eastAsia" w:hAnsi="仿宋_GB2312" w:cs="仿宋_GB2312"/>
          <w:color w:val="auto"/>
          <w:sz w:val="30"/>
          <w:szCs w:val="30"/>
        </w:rPr>
      </w:pPr>
      <w:r>
        <w:rPr>
          <w:rFonts w:hint="eastAsia" w:hAnsi="仿宋_GB2312" w:cs="仿宋_GB2312"/>
          <w:color w:val="auto"/>
          <w:sz w:val="30"/>
          <w:szCs w:val="30"/>
        </w:rPr>
        <w:t>（一）与中央配套事项</w:t>
      </w:r>
    </w:p>
    <w:p w14:paraId="57DDE2AD">
      <w:pPr>
        <w:widowControl w:val="0"/>
        <w:ind w:firstLine="600"/>
        <w:jc w:val="both"/>
        <w:outlineLvl w:val="2"/>
        <w:rPr>
          <w:rFonts w:hint="eastAsia" w:hAnsi="仿宋_GB2312" w:cs="仿宋_GB2312"/>
          <w:color w:val="auto"/>
          <w:sz w:val="30"/>
          <w:szCs w:val="30"/>
        </w:rPr>
      </w:pPr>
      <w:r>
        <w:rPr>
          <w:rFonts w:hint="eastAsia" w:hAnsi="仿宋_GB2312" w:cs="仿宋_GB2312"/>
          <w:color w:val="auto"/>
          <w:sz w:val="30"/>
          <w:szCs w:val="30"/>
        </w:rPr>
        <w:t>学校无相关情况。</w:t>
      </w:r>
    </w:p>
    <w:p w14:paraId="764DF0F1">
      <w:pPr>
        <w:widowControl w:val="0"/>
        <w:ind w:firstLine="600"/>
        <w:jc w:val="both"/>
        <w:outlineLvl w:val="2"/>
        <w:rPr>
          <w:rFonts w:hint="eastAsia" w:hAnsi="仿宋_GB2312" w:cs="仿宋_GB2312"/>
          <w:color w:val="auto"/>
          <w:sz w:val="30"/>
          <w:szCs w:val="30"/>
        </w:rPr>
      </w:pPr>
      <w:r>
        <w:rPr>
          <w:rFonts w:hint="eastAsia" w:hAnsi="仿宋_GB2312" w:cs="仿宋_GB2312"/>
          <w:color w:val="auto"/>
          <w:sz w:val="30"/>
          <w:szCs w:val="30"/>
        </w:rPr>
        <w:t>（二）按既定政策标准测算补助事项</w:t>
      </w:r>
    </w:p>
    <w:p w14:paraId="2721558C">
      <w:pPr>
        <w:widowControl w:val="0"/>
        <w:ind w:firstLine="600"/>
        <w:jc w:val="both"/>
        <w:outlineLvl w:val="2"/>
        <w:rPr>
          <w:rFonts w:hint="eastAsia" w:hAnsi="仿宋_GB2312" w:cs="仿宋_GB2312"/>
          <w:color w:val="auto"/>
          <w:sz w:val="30"/>
          <w:szCs w:val="30"/>
        </w:rPr>
      </w:pPr>
      <w:r>
        <w:rPr>
          <w:rFonts w:hint="eastAsia" w:hAnsi="仿宋_GB2312" w:cs="仿宋_GB2312"/>
          <w:color w:val="auto"/>
          <w:sz w:val="30"/>
          <w:szCs w:val="30"/>
        </w:rPr>
        <w:t>学校无相关情况。</w:t>
      </w:r>
    </w:p>
    <w:p w14:paraId="44DBA969">
      <w:pPr>
        <w:widowControl w:val="0"/>
        <w:ind w:firstLine="600"/>
        <w:jc w:val="both"/>
        <w:outlineLvl w:val="2"/>
        <w:rPr>
          <w:rFonts w:hint="eastAsia" w:hAnsi="仿宋_GB2312" w:cs="仿宋_GB2312"/>
          <w:color w:val="auto"/>
          <w:sz w:val="30"/>
          <w:szCs w:val="30"/>
        </w:rPr>
      </w:pPr>
      <w:r>
        <w:rPr>
          <w:rFonts w:hint="eastAsia" w:hAnsi="仿宋_GB2312" w:cs="仿宋_GB2312"/>
          <w:color w:val="auto"/>
          <w:sz w:val="30"/>
          <w:szCs w:val="30"/>
        </w:rPr>
        <w:t>（三）经济社会事业发展事项</w:t>
      </w:r>
    </w:p>
    <w:p w14:paraId="79F7B67E">
      <w:pPr>
        <w:widowControl w:val="0"/>
        <w:ind w:firstLine="600"/>
        <w:jc w:val="both"/>
        <w:outlineLvl w:val="2"/>
        <w:rPr>
          <w:rFonts w:hint="eastAsia" w:hAnsi="仿宋_GB2312" w:cs="仿宋_GB2312"/>
          <w:color w:val="auto"/>
          <w:sz w:val="30"/>
          <w:szCs w:val="30"/>
        </w:rPr>
      </w:pPr>
      <w:r>
        <w:rPr>
          <w:rFonts w:hint="eastAsia" w:hAnsi="仿宋_GB2312" w:cs="仿宋_GB2312"/>
          <w:color w:val="auto"/>
          <w:sz w:val="30"/>
          <w:szCs w:val="30"/>
        </w:rPr>
        <w:t>学校无相关情况。</w:t>
      </w:r>
    </w:p>
    <w:p w14:paraId="5702CE0C">
      <w:pPr>
        <w:widowControl w:val="0"/>
        <w:jc w:val="both"/>
        <w:outlineLvl w:val="0"/>
        <w:rPr>
          <w:rFonts w:hint="eastAsia" w:ascii="黑体" w:hAnsi="黑体" w:eastAsia="黑体"/>
          <w:color w:val="auto"/>
        </w:rPr>
      </w:pPr>
      <w:r>
        <w:rPr>
          <w:rFonts w:hint="eastAsia" w:ascii="黑体" w:hAnsi="黑体" w:eastAsia="黑体"/>
          <w:color w:val="auto"/>
        </w:rPr>
        <w:t>六、政府采购预算情况</w:t>
      </w:r>
    </w:p>
    <w:p w14:paraId="21A77B74">
      <w:pPr>
        <w:widowControl w:val="0"/>
        <w:ind w:firstLine="600"/>
        <w:jc w:val="both"/>
        <w:outlineLvl w:val="2"/>
        <w:rPr>
          <w:rFonts w:hint="eastAsia" w:hAnsi="仿宋_GB2312" w:cs="仿宋_GB2312"/>
          <w:color w:val="auto"/>
          <w:sz w:val="30"/>
          <w:szCs w:val="30"/>
        </w:rPr>
      </w:pPr>
      <w:r>
        <w:rPr>
          <w:rFonts w:hint="eastAsia" w:hAnsi="仿宋_GB2312" w:cs="仿宋_GB2312"/>
          <w:color w:val="auto"/>
          <w:sz w:val="30"/>
          <w:szCs w:val="30"/>
        </w:rPr>
        <w:t xml:space="preserve">根据《中华人民共和国政府采购法》的有关规定，编制了政府采购预算，共涉及采购项目10个，采购预算总额2,310,179.56元，其中：政府采购货物预算45,000.00元、政府采购服务预算2,265,179.56元、政府采购工程预算0.00元。 </w:t>
      </w:r>
    </w:p>
    <w:p w14:paraId="3137C37E">
      <w:pPr>
        <w:widowControl w:val="0"/>
        <w:jc w:val="both"/>
        <w:outlineLvl w:val="0"/>
        <w:rPr>
          <w:rFonts w:hint="eastAsia" w:ascii="黑体" w:hAnsi="黑体" w:eastAsia="黑体"/>
          <w:color w:val="auto"/>
        </w:rPr>
      </w:pPr>
      <w:r>
        <w:rPr>
          <w:rFonts w:hint="eastAsia" w:ascii="黑体" w:hAnsi="黑体" w:eastAsia="黑体"/>
          <w:color w:val="auto"/>
        </w:rPr>
        <w:t>七、部门“三公”经费增减变化情况及原因说明</w:t>
      </w:r>
    </w:p>
    <w:p w14:paraId="43539503">
      <w:pPr>
        <w:widowControl w:val="0"/>
        <w:ind w:firstLine="600"/>
        <w:jc w:val="both"/>
        <w:outlineLvl w:val="2"/>
        <w:rPr>
          <w:rFonts w:hint="eastAsia" w:hAnsi="仿宋_GB2312" w:cs="仿宋_GB2312"/>
          <w:color w:val="auto"/>
          <w:sz w:val="30"/>
          <w:szCs w:val="30"/>
        </w:rPr>
      </w:pPr>
      <w:r>
        <w:rPr>
          <w:rFonts w:hint="eastAsia" w:hAnsi="仿宋_GB2312" w:cs="仿宋_GB2312"/>
          <w:color w:val="auto"/>
          <w:sz w:val="30"/>
          <w:szCs w:val="30"/>
        </w:rPr>
        <w:t>云南师范大学附属世纪金源学校202</w:t>
      </w:r>
      <w:r>
        <w:rPr>
          <w:rFonts w:hAnsi="仿宋_GB2312" w:cs="仿宋_GB2312"/>
          <w:color w:val="auto"/>
          <w:sz w:val="30"/>
          <w:szCs w:val="30"/>
        </w:rPr>
        <w:t>6</w:t>
      </w:r>
      <w:r>
        <w:rPr>
          <w:rFonts w:hint="eastAsia" w:hAnsi="仿宋_GB2312" w:cs="仿宋_GB2312"/>
          <w:color w:val="auto"/>
          <w:sz w:val="30"/>
          <w:szCs w:val="30"/>
        </w:rPr>
        <w:t>年一般公共预算财政拨款“三公”经费预算合计42,629.00</w:t>
      </w:r>
      <w:bookmarkStart w:id="3" w:name="_GoBack"/>
      <w:bookmarkEnd w:id="3"/>
      <w:r>
        <w:rPr>
          <w:rFonts w:hint="eastAsia" w:hAnsi="仿宋_GB2312" w:cs="仿宋_GB2312"/>
          <w:color w:val="auto"/>
          <w:sz w:val="30"/>
          <w:szCs w:val="30"/>
        </w:rPr>
        <w:t>元，较上年增加0.00元，增长0%，具体变动情况如下：</w:t>
      </w:r>
    </w:p>
    <w:p w14:paraId="78885E91">
      <w:pPr>
        <w:widowControl w:val="0"/>
        <w:tabs>
          <w:tab w:val="left" w:pos="5025"/>
        </w:tabs>
        <w:jc w:val="both"/>
        <w:outlineLvl w:val="1"/>
        <w:rPr>
          <w:rFonts w:ascii="楷体_GB2312" w:eastAsia="楷体_GB2312"/>
          <w:color w:val="auto"/>
        </w:rPr>
      </w:pPr>
      <w:r>
        <w:rPr>
          <w:rFonts w:hint="eastAsia" w:ascii="楷体_GB2312" w:eastAsia="楷体_GB2312"/>
          <w:color w:val="auto"/>
        </w:rPr>
        <w:t>（一）因公出国（境）费</w:t>
      </w:r>
    </w:p>
    <w:p w14:paraId="22A0CFA6">
      <w:pPr>
        <w:widowControl w:val="0"/>
        <w:ind w:firstLine="600"/>
        <w:jc w:val="both"/>
        <w:outlineLvl w:val="2"/>
        <w:rPr>
          <w:rFonts w:hint="eastAsia" w:hAnsi="仿宋_GB2312" w:cs="仿宋_GB2312"/>
          <w:color w:val="auto"/>
          <w:sz w:val="30"/>
          <w:szCs w:val="30"/>
        </w:rPr>
      </w:pPr>
      <w:r>
        <w:rPr>
          <w:rFonts w:hint="eastAsia" w:hAnsi="仿宋_GB2312" w:cs="仿宋_GB2312"/>
          <w:color w:val="auto"/>
          <w:sz w:val="30"/>
          <w:szCs w:val="30"/>
        </w:rPr>
        <w:t>云南师范大学附属世纪金源学校202</w:t>
      </w:r>
      <w:r>
        <w:rPr>
          <w:rFonts w:hAnsi="仿宋_GB2312" w:cs="仿宋_GB2312"/>
          <w:color w:val="auto"/>
          <w:sz w:val="30"/>
          <w:szCs w:val="30"/>
        </w:rPr>
        <w:t>6</w:t>
      </w:r>
      <w:r>
        <w:rPr>
          <w:rFonts w:hint="eastAsia" w:hAnsi="仿宋_GB2312" w:cs="仿宋_GB2312"/>
          <w:color w:val="auto"/>
          <w:sz w:val="30"/>
          <w:szCs w:val="30"/>
        </w:rPr>
        <w:t>年因公出国（境）费预算为0.00元，较上年增加0.00元，增长0%，共计安排因公出国（境）团组0个，因公出国（境）0人次。</w:t>
      </w:r>
    </w:p>
    <w:p w14:paraId="0E4AC73C">
      <w:pPr>
        <w:widowControl w:val="0"/>
        <w:ind w:firstLine="600"/>
        <w:jc w:val="both"/>
        <w:outlineLvl w:val="2"/>
        <w:rPr>
          <w:rFonts w:hint="eastAsia" w:hAnsi="仿宋_GB2312" w:cs="仿宋_GB2312"/>
          <w:color w:val="auto"/>
          <w:sz w:val="30"/>
          <w:szCs w:val="30"/>
        </w:rPr>
      </w:pPr>
      <w:r>
        <w:rPr>
          <w:rFonts w:hint="eastAsia" w:hAnsi="仿宋_GB2312" w:cs="仿宋_GB2312"/>
          <w:color w:val="auto"/>
          <w:sz w:val="30"/>
          <w:szCs w:val="30"/>
        </w:rPr>
        <w:t>增减变化原因</w:t>
      </w:r>
      <w:bookmarkStart w:id="2" w:name="OLE_LINK18"/>
      <w:r>
        <w:rPr>
          <w:rFonts w:hint="eastAsia" w:hAnsi="仿宋_GB2312" w:cs="仿宋_GB2312"/>
          <w:color w:val="auto"/>
          <w:sz w:val="30"/>
          <w:szCs w:val="30"/>
        </w:rPr>
        <w:t>：同上年度相比无变化。</w:t>
      </w:r>
      <w:bookmarkEnd w:id="2"/>
    </w:p>
    <w:p w14:paraId="65C9F78D">
      <w:pPr>
        <w:widowControl w:val="0"/>
        <w:jc w:val="both"/>
        <w:outlineLvl w:val="1"/>
        <w:rPr>
          <w:rFonts w:ascii="楷体_GB2312" w:eastAsia="楷体_GB2312"/>
          <w:color w:val="auto"/>
        </w:rPr>
      </w:pPr>
      <w:r>
        <w:rPr>
          <w:rFonts w:hint="eastAsia" w:ascii="楷体_GB2312" w:eastAsia="楷体_GB2312"/>
          <w:color w:val="auto"/>
        </w:rPr>
        <w:t>（二）公务接待费</w:t>
      </w:r>
    </w:p>
    <w:p w14:paraId="102AC341">
      <w:pPr>
        <w:widowControl w:val="0"/>
        <w:ind w:firstLine="600"/>
        <w:jc w:val="both"/>
        <w:outlineLvl w:val="2"/>
        <w:rPr>
          <w:rFonts w:hint="eastAsia" w:hAnsi="仿宋_GB2312" w:cs="仿宋_GB2312"/>
          <w:color w:val="auto"/>
          <w:sz w:val="30"/>
          <w:szCs w:val="30"/>
        </w:rPr>
      </w:pPr>
      <w:r>
        <w:rPr>
          <w:rFonts w:hint="eastAsia" w:hAnsi="仿宋_GB2312" w:cs="仿宋_GB2312"/>
          <w:color w:val="auto"/>
          <w:sz w:val="30"/>
          <w:szCs w:val="30"/>
        </w:rPr>
        <w:t>云南师范大学附属世纪金源学校202</w:t>
      </w:r>
      <w:r>
        <w:rPr>
          <w:rFonts w:hAnsi="仿宋_GB2312" w:cs="仿宋_GB2312"/>
          <w:color w:val="auto"/>
          <w:sz w:val="30"/>
          <w:szCs w:val="30"/>
        </w:rPr>
        <w:t>6</w:t>
      </w:r>
      <w:r>
        <w:rPr>
          <w:rFonts w:hint="eastAsia" w:hAnsi="仿宋_GB2312" w:cs="仿宋_GB2312"/>
          <w:color w:val="auto"/>
          <w:sz w:val="30"/>
          <w:szCs w:val="30"/>
        </w:rPr>
        <w:t>年公务接待费预算为0.00元，较上年增加0.00元，增长0%，国内公务接待批次为0次，共计接待0人次。</w:t>
      </w:r>
    </w:p>
    <w:p w14:paraId="53913EB9">
      <w:pPr>
        <w:widowControl w:val="0"/>
        <w:ind w:firstLine="600"/>
        <w:jc w:val="both"/>
        <w:outlineLvl w:val="2"/>
        <w:rPr>
          <w:rFonts w:hint="eastAsia" w:hAnsi="仿宋_GB2312" w:cs="仿宋_GB2312"/>
          <w:color w:val="auto"/>
          <w:sz w:val="30"/>
          <w:szCs w:val="30"/>
        </w:rPr>
      </w:pPr>
      <w:r>
        <w:rPr>
          <w:rFonts w:hint="eastAsia" w:hAnsi="仿宋_GB2312" w:cs="仿宋_GB2312"/>
          <w:color w:val="auto"/>
          <w:sz w:val="30"/>
          <w:szCs w:val="30"/>
        </w:rPr>
        <w:t>增减变化原因：同上年度相比无变化。</w:t>
      </w:r>
    </w:p>
    <w:p w14:paraId="06201C32">
      <w:pPr>
        <w:widowControl w:val="0"/>
        <w:jc w:val="both"/>
        <w:outlineLvl w:val="1"/>
        <w:rPr>
          <w:rFonts w:ascii="楷体_GB2312" w:eastAsia="楷体_GB2312"/>
          <w:color w:val="auto"/>
        </w:rPr>
      </w:pPr>
      <w:r>
        <w:rPr>
          <w:rFonts w:hint="eastAsia" w:ascii="楷体_GB2312" w:eastAsia="楷体_GB2312"/>
          <w:color w:val="auto"/>
        </w:rPr>
        <w:t>（三）公务用车购置及运行维护费</w:t>
      </w:r>
    </w:p>
    <w:p w14:paraId="18E66D9A">
      <w:pPr>
        <w:widowControl w:val="0"/>
        <w:ind w:firstLine="600"/>
        <w:jc w:val="both"/>
        <w:outlineLvl w:val="2"/>
        <w:rPr>
          <w:rFonts w:hint="eastAsia" w:hAnsi="仿宋_GB2312" w:cs="仿宋_GB2312"/>
          <w:color w:val="auto"/>
          <w:sz w:val="30"/>
          <w:szCs w:val="30"/>
        </w:rPr>
      </w:pPr>
      <w:r>
        <w:rPr>
          <w:rFonts w:hint="eastAsia" w:hAnsi="仿宋_GB2312" w:cs="仿宋_GB2312"/>
          <w:color w:val="auto"/>
          <w:sz w:val="30"/>
          <w:szCs w:val="30"/>
        </w:rPr>
        <w:t>云南师范大学附属世纪金源学校202</w:t>
      </w:r>
      <w:r>
        <w:rPr>
          <w:rFonts w:hAnsi="仿宋_GB2312" w:cs="仿宋_GB2312"/>
          <w:color w:val="auto"/>
          <w:sz w:val="30"/>
          <w:szCs w:val="30"/>
        </w:rPr>
        <w:t>6</w:t>
      </w:r>
      <w:r>
        <w:rPr>
          <w:rFonts w:hint="eastAsia" w:hAnsi="仿宋_GB2312" w:cs="仿宋_GB2312"/>
          <w:color w:val="auto"/>
          <w:sz w:val="30"/>
          <w:szCs w:val="30"/>
        </w:rPr>
        <w:t>年公务用车购置及运行维护费为42,629.00元，较上年增加0.00元，增长0%。其中：公务用车购置费0.00元，较上年增加0.00元，增长0%；公务用车运行维护费42,629.00元，较上年增加0.00元，增长0%。共计购置公务用车0辆，年末公务用车保有量为3辆。</w:t>
      </w:r>
    </w:p>
    <w:p w14:paraId="5B0772B4">
      <w:pPr>
        <w:widowControl w:val="0"/>
        <w:ind w:firstLine="600"/>
        <w:jc w:val="both"/>
        <w:outlineLvl w:val="2"/>
        <w:rPr>
          <w:rFonts w:hint="eastAsia" w:hAnsi="仿宋_GB2312" w:cs="仿宋_GB2312"/>
          <w:color w:val="auto"/>
          <w:sz w:val="30"/>
          <w:szCs w:val="30"/>
        </w:rPr>
      </w:pPr>
      <w:r>
        <w:rPr>
          <w:rFonts w:hint="eastAsia" w:hAnsi="仿宋_GB2312" w:cs="仿宋_GB2312"/>
          <w:color w:val="auto"/>
          <w:sz w:val="30"/>
          <w:szCs w:val="30"/>
        </w:rPr>
        <w:t>增减变化原因：同上年度相比无变化。</w:t>
      </w:r>
    </w:p>
    <w:p w14:paraId="0E66EF30">
      <w:pPr>
        <w:widowControl w:val="0"/>
        <w:jc w:val="both"/>
        <w:outlineLvl w:val="0"/>
        <w:rPr>
          <w:rFonts w:hint="eastAsia" w:ascii="黑体" w:hAnsi="黑体" w:eastAsia="黑体"/>
          <w:color w:val="auto"/>
        </w:rPr>
      </w:pPr>
      <w:r>
        <w:rPr>
          <w:rFonts w:hint="eastAsia" w:ascii="黑体" w:hAnsi="黑体" w:eastAsia="黑体"/>
          <w:color w:val="auto"/>
        </w:rPr>
        <w:t>八、重点项目预算绩效目标情况</w:t>
      </w:r>
    </w:p>
    <w:p w14:paraId="4977CACC">
      <w:pPr>
        <w:widowControl w:val="0"/>
        <w:ind w:firstLine="600"/>
        <w:jc w:val="both"/>
        <w:outlineLvl w:val="2"/>
        <w:rPr>
          <w:rFonts w:hint="eastAsia" w:hAnsi="仿宋_GB2312" w:cs="仿宋_GB2312"/>
          <w:color w:val="auto"/>
          <w:sz w:val="30"/>
          <w:szCs w:val="30"/>
        </w:rPr>
      </w:pPr>
      <w:r>
        <w:rPr>
          <w:rFonts w:hint="eastAsia" w:hAnsi="仿宋_GB2312" w:cs="仿宋_GB2312"/>
          <w:color w:val="auto"/>
          <w:sz w:val="30"/>
          <w:szCs w:val="30"/>
        </w:rPr>
        <w:t>围绕政府教育事业发展规划，我单位制定了2026年的整体支出绩效目标：一是保障教育教学秩序稳定；二是保证校园安全服务到位；三是保证教职工工资待遇和福利按时发放；四是加强党风廉政建设；五是完成初中学业水平考试和高考，提高升学率；六是顺利完成</w:t>
      </w:r>
      <w:r>
        <w:rPr>
          <w:rFonts w:hint="eastAsia" w:hAnsi="仿宋_GB2312" w:cs="仿宋_GB2312"/>
          <w:color w:val="auto"/>
          <w:sz w:val="30"/>
          <w:szCs w:val="30"/>
          <w:lang w:val="en-US" w:eastAsia="zh-CN"/>
        </w:rPr>
        <w:t>各</w:t>
      </w:r>
      <w:r>
        <w:rPr>
          <w:rFonts w:hint="eastAsia" w:hAnsi="仿宋_GB2312" w:cs="仿宋_GB2312"/>
          <w:color w:val="auto"/>
          <w:sz w:val="30"/>
          <w:szCs w:val="30"/>
        </w:rPr>
        <w:t>个学段招生工作；七是保障后勤</w:t>
      </w:r>
      <w:r>
        <w:rPr>
          <w:rFonts w:hint="eastAsia" w:hAnsi="仿宋_GB2312" w:cs="仿宋_GB2312"/>
          <w:color w:val="auto"/>
          <w:sz w:val="30"/>
          <w:szCs w:val="30"/>
          <w:lang w:eastAsia="zh-CN"/>
        </w:rPr>
        <w:t>、</w:t>
      </w:r>
      <w:r>
        <w:rPr>
          <w:rFonts w:hint="eastAsia" w:hAnsi="仿宋_GB2312" w:cs="仿宋_GB2312"/>
          <w:color w:val="auto"/>
          <w:sz w:val="30"/>
          <w:szCs w:val="30"/>
          <w:lang w:val="en-US" w:eastAsia="zh-CN"/>
        </w:rPr>
        <w:t>财务等各部门</w:t>
      </w:r>
      <w:r>
        <w:rPr>
          <w:rFonts w:hint="eastAsia" w:hAnsi="仿宋_GB2312" w:cs="仿宋_GB2312"/>
          <w:color w:val="auto"/>
          <w:sz w:val="30"/>
          <w:szCs w:val="30"/>
        </w:rPr>
        <w:t>正常运转；八是完成其他工作。</w:t>
      </w:r>
    </w:p>
    <w:p w14:paraId="6AA09899">
      <w:pPr>
        <w:widowControl w:val="0"/>
        <w:ind w:firstLine="600"/>
        <w:jc w:val="both"/>
        <w:outlineLvl w:val="2"/>
        <w:rPr>
          <w:rFonts w:hint="default" w:hAnsi="仿宋_GB2312" w:eastAsia="仿宋_GB2312" w:cs="仿宋_GB2312"/>
          <w:color w:val="auto"/>
          <w:sz w:val="30"/>
          <w:szCs w:val="30"/>
          <w:lang w:val="en-US" w:eastAsia="zh-CN"/>
        </w:rPr>
      </w:pPr>
      <w:r>
        <w:rPr>
          <w:rFonts w:hint="eastAsia" w:hAnsi="仿宋_GB2312" w:cs="仿宋_GB2312"/>
          <w:color w:val="auto"/>
          <w:sz w:val="30"/>
          <w:szCs w:val="30"/>
          <w:lang w:val="en-US" w:eastAsia="zh-CN"/>
        </w:rPr>
        <w:t>重点项目预算绩效目标如下：</w:t>
      </w:r>
    </w:p>
    <w:p w14:paraId="2E0B1CCB">
      <w:pPr>
        <w:widowControl w:val="0"/>
        <w:ind w:firstLine="600"/>
        <w:jc w:val="both"/>
        <w:outlineLvl w:val="2"/>
        <w:rPr>
          <w:rFonts w:hint="eastAsia" w:hAnsi="仿宋_GB2312" w:cs="仿宋_GB2312"/>
          <w:color w:val="auto"/>
          <w:sz w:val="30"/>
          <w:szCs w:val="30"/>
        </w:rPr>
      </w:pPr>
      <w:r>
        <w:rPr>
          <w:rFonts w:hint="eastAsia" w:hAnsi="仿宋_GB2312" w:cs="仿宋_GB2312"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1.</w:t>
      </w:r>
      <w:r>
        <w:rPr>
          <w:rFonts w:hint="eastAsia" w:hAnsi="仿宋_GB2312" w:cs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师大世纪金源学校教育收费成本专项资金</w:t>
      </w:r>
      <w:r>
        <w:rPr>
          <w:rFonts w:hint="eastAsia" w:hAnsi="仿宋_GB2312" w:cs="仿宋_GB2312"/>
          <w:color w:val="auto"/>
          <w:sz w:val="30"/>
          <w:szCs w:val="30"/>
        </w:rPr>
        <w:t>：2026年持续巩固云南省一级一等示范幼儿园创建成果，进一步提升我校学前教育保育教育质量，扩大优质学前教育资源，以收费成本资金，作为教学运转保障资金，用于加大幼儿园课程建设、设施设备投入，提升幼儿园办学条件；加强幼儿园教师培训投入，提高师资水平。</w:t>
      </w:r>
    </w:p>
    <w:p w14:paraId="7B5C7135">
      <w:pPr>
        <w:widowControl w:val="0"/>
        <w:ind w:firstLine="600"/>
        <w:jc w:val="both"/>
        <w:outlineLvl w:val="2"/>
        <w:rPr>
          <w:rFonts w:hint="eastAsia" w:hAnsi="仿宋_GB2312" w:cs="仿宋_GB2312"/>
          <w:color w:val="auto"/>
          <w:sz w:val="30"/>
          <w:szCs w:val="30"/>
        </w:rPr>
      </w:pPr>
      <w:r>
        <w:rPr>
          <w:rFonts w:hint="eastAsia" w:hAnsi="仿宋_GB2312" w:cs="仿宋_GB2312"/>
          <w:color w:val="auto"/>
          <w:sz w:val="30"/>
          <w:szCs w:val="30"/>
          <w:lang w:val="en-US" w:eastAsia="zh-CN"/>
        </w:rPr>
        <w:t>2.</w:t>
      </w:r>
      <w:r>
        <w:rPr>
          <w:rFonts w:hint="eastAsia" w:hAnsi="仿宋_GB2312" w:cs="仿宋_GB2312"/>
          <w:color w:val="auto"/>
          <w:sz w:val="30"/>
          <w:szCs w:val="30"/>
        </w:rPr>
        <w:t>其他人员支出项目：保障学校编外人员的支出，保证学校的正常运转。</w:t>
      </w:r>
    </w:p>
    <w:p w14:paraId="13A98D5B">
      <w:pPr>
        <w:widowControl w:val="0"/>
        <w:ind w:firstLine="600"/>
        <w:jc w:val="both"/>
        <w:outlineLvl w:val="2"/>
        <w:rPr>
          <w:rFonts w:hint="eastAsia" w:hAnsi="仿宋_GB2312" w:cs="仿宋_GB2312"/>
          <w:color w:val="auto"/>
          <w:sz w:val="30"/>
          <w:szCs w:val="30"/>
        </w:rPr>
      </w:pPr>
      <w:r>
        <w:rPr>
          <w:rFonts w:hint="eastAsia" w:hAnsi="仿宋_GB2312" w:cs="仿宋_GB2312"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3.</w:t>
      </w:r>
      <w:r>
        <w:rPr>
          <w:rFonts w:hint="eastAsia" w:hAnsi="仿宋_GB2312" w:cs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世</w:t>
      </w:r>
      <w:r>
        <w:rPr>
          <w:rFonts w:hint="eastAsia" w:hAnsi="仿宋_GB2312" w:cs="仿宋_GB2312"/>
          <w:color w:val="auto"/>
          <w:sz w:val="30"/>
          <w:szCs w:val="30"/>
        </w:rPr>
        <w:t>纪金源学校补助办学专项资金：2026年巩固云南省一级三等</w:t>
      </w:r>
      <w:r>
        <w:rPr>
          <w:rFonts w:hint="eastAsia" w:hAnsi="仿宋_GB2312" w:cs="仿宋_GB2312"/>
          <w:color w:val="auto"/>
          <w:sz w:val="30"/>
          <w:szCs w:val="30"/>
          <w:lang w:val="en-US" w:eastAsia="zh-CN"/>
        </w:rPr>
        <w:t>高完中</w:t>
      </w:r>
      <w:r>
        <w:rPr>
          <w:rFonts w:hint="eastAsia" w:hAnsi="仿宋_GB2312" w:cs="仿宋_GB2312"/>
          <w:color w:val="auto"/>
          <w:sz w:val="30"/>
          <w:szCs w:val="30"/>
        </w:rPr>
        <w:t>成果。初中毕业学生顺利毕业并以优异的成绩升入理想的高中学校；高考上线率、一本上线率达到高中段责任目标的要求，600分以上人数再创新高。加大学校师资队伍建设、教育科研、校园文化等方面的建设，促进学校向深度发展转型，走内涵发展的道路，促进学校高质量发展；全体教职工要提高思想站位，从源头清理、理清关系，梳理各项工作存在问题的根源，进一步整合“十五年一体化”学校的资源和结构优势，不断拓宽工作思路，坚持创新力求实效，团结一心谋求全新发展，齐心协力打响学校品牌。</w:t>
      </w:r>
    </w:p>
    <w:p w14:paraId="1DF2C0E8">
      <w:pPr>
        <w:widowControl w:val="0"/>
        <w:jc w:val="both"/>
        <w:outlineLvl w:val="0"/>
        <w:rPr>
          <w:rFonts w:hint="eastAsia" w:ascii="黑体" w:hAnsi="黑体" w:eastAsia="黑体"/>
          <w:color w:val="auto"/>
        </w:rPr>
      </w:pPr>
      <w:r>
        <w:rPr>
          <w:rFonts w:hint="eastAsia" w:ascii="黑体" w:hAnsi="黑体" w:eastAsia="黑体"/>
          <w:color w:val="auto"/>
        </w:rPr>
        <w:t>九、其他公开信息</w:t>
      </w:r>
    </w:p>
    <w:p w14:paraId="05C6587C">
      <w:pPr>
        <w:widowControl w:val="0"/>
        <w:jc w:val="both"/>
        <w:outlineLvl w:val="1"/>
        <w:rPr>
          <w:rFonts w:ascii="楷体_GB2312" w:eastAsia="楷体_GB2312"/>
          <w:color w:val="auto"/>
        </w:rPr>
      </w:pPr>
      <w:r>
        <w:rPr>
          <w:rFonts w:hint="eastAsia" w:ascii="楷体_GB2312" w:eastAsia="楷体_GB2312"/>
          <w:color w:val="auto"/>
        </w:rPr>
        <w:t>（一）专业名词解释</w:t>
      </w:r>
    </w:p>
    <w:p w14:paraId="5C775AE8">
      <w:pPr>
        <w:widowControl w:val="0"/>
        <w:ind w:firstLine="600"/>
        <w:jc w:val="both"/>
        <w:outlineLvl w:val="2"/>
        <w:rPr>
          <w:rFonts w:hint="eastAsia" w:hAnsi="仿宋_GB2312" w:cs="仿宋_GB2312"/>
          <w:color w:val="auto"/>
          <w:sz w:val="30"/>
          <w:szCs w:val="30"/>
        </w:rPr>
      </w:pPr>
      <w:r>
        <w:rPr>
          <w:rFonts w:hint="eastAsia" w:hAnsi="仿宋_GB2312" w:cs="仿宋_GB2312"/>
          <w:color w:val="auto"/>
          <w:sz w:val="30"/>
          <w:szCs w:val="30"/>
        </w:rPr>
        <w:t>1.经济科目：指政府支出按经济性质和具体用途所作的一种分类科目，具体设类、款两级。</w:t>
      </w:r>
    </w:p>
    <w:p w14:paraId="69E74ACC">
      <w:pPr>
        <w:widowControl w:val="0"/>
        <w:ind w:firstLine="600"/>
        <w:jc w:val="both"/>
        <w:outlineLvl w:val="2"/>
        <w:rPr>
          <w:rFonts w:hint="eastAsia" w:hAnsi="仿宋_GB2312" w:cs="仿宋_GB2312"/>
          <w:color w:val="auto"/>
          <w:sz w:val="30"/>
          <w:szCs w:val="30"/>
        </w:rPr>
      </w:pPr>
      <w:r>
        <w:rPr>
          <w:rFonts w:hint="eastAsia" w:hAnsi="仿宋_GB2312" w:cs="仿宋_GB2312"/>
          <w:color w:val="auto"/>
          <w:sz w:val="30"/>
          <w:szCs w:val="30"/>
        </w:rPr>
        <w:t>2.功能科目：指政府支出按其主要职能活动所作的一种分类科目，主要反映政府活动的不同功能和政策目标，具体设类、款、项三级。</w:t>
      </w:r>
    </w:p>
    <w:p w14:paraId="692D701D">
      <w:pPr>
        <w:widowControl w:val="0"/>
        <w:ind w:firstLine="600"/>
        <w:jc w:val="both"/>
        <w:outlineLvl w:val="2"/>
        <w:rPr>
          <w:rFonts w:hint="eastAsia" w:hAnsi="仿宋_GB2312" w:cs="仿宋_GB2312"/>
          <w:color w:val="auto"/>
          <w:sz w:val="30"/>
          <w:szCs w:val="30"/>
        </w:rPr>
      </w:pPr>
      <w:r>
        <w:rPr>
          <w:rFonts w:hint="eastAsia" w:hAnsi="仿宋_GB2312" w:cs="仿宋_GB2312"/>
          <w:color w:val="auto"/>
          <w:sz w:val="30"/>
          <w:szCs w:val="30"/>
        </w:rPr>
        <w:t>3.一般公共预算：对以税收为主体的财政收入，安排用于保障和改善民生、推动经济社会发展、维护国家安全、维持国家机构正常运转等方面的收支预算。主要包括本级财力、专项收入、执法办案补助、收费成本补偿和国有资源（资产）有偿使用。</w:t>
      </w:r>
    </w:p>
    <w:p w14:paraId="3783F5BE">
      <w:pPr>
        <w:widowControl w:val="0"/>
        <w:ind w:firstLine="600"/>
        <w:jc w:val="both"/>
        <w:outlineLvl w:val="2"/>
        <w:rPr>
          <w:rFonts w:hint="eastAsia" w:hAnsi="仿宋_GB2312" w:cs="仿宋_GB2312"/>
          <w:color w:val="auto"/>
          <w:sz w:val="30"/>
          <w:szCs w:val="30"/>
        </w:rPr>
      </w:pPr>
      <w:r>
        <w:rPr>
          <w:rFonts w:hint="eastAsia" w:hAnsi="仿宋_GB2312" w:cs="仿宋_GB2312"/>
          <w:color w:val="auto"/>
          <w:sz w:val="30"/>
          <w:szCs w:val="30"/>
        </w:rPr>
        <w:t>4.“三公”经费支出：纳入财政预决算管理的“三公”经费，是部门用财政拨款安排的因公出国（境）费、公务用车购置及运行费和公务接待费。其中：因公出国（境）费反映单位公务出国（境）的国际旅费、国外城市交通费、住宿费、伙食费、培训费、公杂费等支出；公务用车购置及运行费反映单位公务用车车辆购置支出（含车辆购置税）及租用费、燃料费、维修费、过路过桥费、保险费、安全奖励费用等支出；公务接待费反映单位按规定开支的各类公务接待（含外宾接待）支出。</w:t>
      </w:r>
    </w:p>
    <w:p w14:paraId="39208F04">
      <w:pPr>
        <w:widowControl w:val="0"/>
        <w:jc w:val="both"/>
        <w:outlineLvl w:val="1"/>
        <w:rPr>
          <w:rFonts w:ascii="楷体_GB2312" w:eastAsia="楷体_GB2312"/>
          <w:color w:val="auto"/>
        </w:rPr>
      </w:pPr>
      <w:r>
        <w:rPr>
          <w:rFonts w:hint="eastAsia" w:ascii="楷体_GB2312" w:eastAsia="楷体_GB2312"/>
          <w:color w:val="auto"/>
        </w:rPr>
        <w:t>（二）机关运行经费安排变化情况及原因说明</w:t>
      </w:r>
    </w:p>
    <w:p w14:paraId="044130A3">
      <w:pPr>
        <w:widowControl w:val="0"/>
        <w:ind w:firstLine="600"/>
        <w:jc w:val="both"/>
        <w:outlineLvl w:val="2"/>
        <w:rPr>
          <w:rFonts w:hint="eastAsia" w:hAnsi="仿宋_GB2312" w:cs="仿宋_GB2312"/>
          <w:color w:val="auto"/>
          <w:sz w:val="30"/>
          <w:szCs w:val="30"/>
        </w:rPr>
      </w:pPr>
      <w:r>
        <w:rPr>
          <w:rFonts w:hint="eastAsia" w:hAnsi="仿宋_GB2312" w:cs="仿宋_GB2312"/>
          <w:color w:val="auto"/>
          <w:sz w:val="30"/>
          <w:szCs w:val="30"/>
        </w:rPr>
        <w:t>云南师范大学附属世纪金源学校202</w:t>
      </w:r>
      <w:r>
        <w:rPr>
          <w:rFonts w:hAnsi="仿宋_GB2312" w:cs="仿宋_GB2312"/>
          <w:color w:val="auto"/>
          <w:sz w:val="30"/>
          <w:szCs w:val="30"/>
        </w:rPr>
        <w:t>6</w:t>
      </w:r>
      <w:r>
        <w:rPr>
          <w:rFonts w:hint="eastAsia" w:hAnsi="仿宋_GB2312" w:cs="仿宋_GB2312"/>
          <w:color w:val="auto"/>
          <w:sz w:val="30"/>
          <w:szCs w:val="30"/>
        </w:rPr>
        <w:t>年机关运行经费安排0.00元，与上年对比无变动，主要原因分析：我单位为事业单位，所以机关运行经费为0.00元。</w:t>
      </w:r>
    </w:p>
    <w:p w14:paraId="40C39654">
      <w:pPr>
        <w:widowControl w:val="0"/>
        <w:jc w:val="both"/>
        <w:outlineLvl w:val="1"/>
        <w:rPr>
          <w:rFonts w:ascii="楷体_GB2312" w:eastAsia="楷体_GB2312"/>
          <w:color w:val="auto"/>
        </w:rPr>
      </w:pPr>
      <w:r>
        <w:rPr>
          <w:rFonts w:hint="eastAsia" w:ascii="楷体_GB2312" w:eastAsia="楷体_GB2312"/>
          <w:color w:val="auto"/>
        </w:rPr>
        <w:t>（三）委托业务费安排变化情况及原因说明</w:t>
      </w:r>
    </w:p>
    <w:p w14:paraId="2A6AEAFC">
      <w:pPr>
        <w:widowControl w:val="0"/>
        <w:ind w:firstLine="600"/>
        <w:jc w:val="both"/>
        <w:outlineLvl w:val="2"/>
        <w:rPr>
          <w:rFonts w:hint="eastAsia" w:hAnsi="仿宋_GB2312" w:cs="仿宋_GB2312"/>
          <w:color w:val="auto"/>
          <w:sz w:val="30"/>
          <w:szCs w:val="30"/>
        </w:rPr>
      </w:pPr>
      <w:r>
        <w:rPr>
          <w:rFonts w:hint="eastAsia" w:hAnsi="仿宋_GB2312" w:cs="仿宋_GB2312"/>
          <w:color w:val="auto"/>
          <w:sz w:val="30"/>
          <w:szCs w:val="30"/>
        </w:rPr>
        <w:t>云南师范大学附属世纪金源学校2026年委托业务费安排0.00元，与上年对比无变动，主要原因分析：我单位无委托业务费支出。</w:t>
      </w:r>
    </w:p>
    <w:p w14:paraId="62C5908C">
      <w:pPr>
        <w:widowControl w:val="0"/>
        <w:jc w:val="both"/>
        <w:outlineLvl w:val="1"/>
        <w:rPr>
          <w:rFonts w:ascii="楷体_GB2312" w:eastAsia="楷体_GB2312"/>
          <w:color w:val="auto"/>
        </w:rPr>
      </w:pPr>
      <w:r>
        <w:rPr>
          <w:rFonts w:hint="eastAsia" w:ascii="楷体_GB2312" w:eastAsia="楷体_GB2312"/>
          <w:color w:val="auto"/>
        </w:rPr>
        <w:t>（四）国有资产占有使用情况</w:t>
      </w:r>
    </w:p>
    <w:p w14:paraId="5047443E">
      <w:pPr>
        <w:widowControl w:val="0"/>
        <w:ind w:firstLine="600"/>
        <w:jc w:val="both"/>
        <w:outlineLvl w:val="2"/>
        <w:rPr>
          <w:rFonts w:hint="eastAsia" w:hAnsi="仿宋_GB2312" w:cs="仿宋_GB2312"/>
          <w:color w:val="auto"/>
          <w:sz w:val="30"/>
          <w:szCs w:val="30"/>
        </w:rPr>
      </w:pPr>
      <w:r>
        <w:rPr>
          <w:rFonts w:hint="eastAsia" w:hAnsi="仿宋_GB2312" w:cs="仿宋_GB2312"/>
          <w:color w:val="auto"/>
          <w:sz w:val="30"/>
          <w:szCs w:val="30"/>
        </w:rPr>
        <w:t>截至202</w:t>
      </w:r>
      <w:r>
        <w:rPr>
          <w:rFonts w:hAnsi="仿宋_GB2312" w:cs="仿宋_GB2312"/>
          <w:color w:val="auto"/>
          <w:sz w:val="30"/>
          <w:szCs w:val="30"/>
        </w:rPr>
        <w:t>5</w:t>
      </w:r>
      <w:r>
        <w:rPr>
          <w:rFonts w:hint="eastAsia" w:hAnsi="仿宋_GB2312" w:cs="仿宋_GB2312"/>
          <w:color w:val="auto"/>
          <w:sz w:val="30"/>
          <w:szCs w:val="30"/>
        </w:rPr>
        <w:t>年12月31日，云南师范大学附属世纪金源学校资产总额25,283,874.10元，其中，流动资产13,577,842.82元，固定资产原值</w:t>
      </w:r>
      <w:r>
        <w:rPr>
          <w:rFonts w:hAnsi="仿宋_GB2312" w:cs="仿宋_GB2312"/>
          <w:color w:val="auto"/>
          <w:sz w:val="30"/>
          <w:szCs w:val="30"/>
        </w:rPr>
        <w:t>31</w:t>
      </w:r>
      <w:r>
        <w:rPr>
          <w:rFonts w:hint="eastAsia" w:hAnsi="仿宋_GB2312" w:cs="仿宋_GB2312"/>
          <w:color w:val="auto"/>
          <w:sz w:val="30"/>
          <w:szCs w:val="30"/>
        </w:rPr>
        <w:t>,</w:t>
      </w:r>
      <w:r>
        <w:rPr>
          <w:rFonts w:hAnsi="仿宋_GB2312" w:cs="仿宋_GB2312"/>
          <w:color w:val="auto"/>
          <w:sz w:val="30"/>
          <w:szCs w:val="30"/>
        </w:rPr>
        <w:t>381</w:t>
      </w:r>
      <w:r>
        <w:rPr>
          <w:rFonts w:hint="eastAsia" w:hAnsi="仿宋_GB2312" w:cs="仿宋_GB2312"/>
          <w:color w:val="auto"/>
          <w:sz w:val="30"/>
          <w:szCs w:val="30"/>
        </w:rPr>
        <w:t>,</w:t>
      </w:r>
      <w:r>
        <w:rPr>
          <w:rFonts w:hAnsi="仿宋_GB2312" w:cs="仿宋_GB2312"/>
          <w:color w:val="auto"/>
          <w:sz w:val="30"/>
          <w:szCs w:val="30"/>
        </w:rPr>
        <w:t>864.12</w:t>
      </w:r>
      <w:r>
        <w:rPr>
          <w:rFonts w:hint="eastAsia" w:hAnsi="仿宋_GB2312" w:cs="仿宋_GB2312"/>
          <w:color w:val="auto"/>
          <w:sz w:val="30"/>
          <w:szCs w:val="30"/>
        </w:rPr>
        <w:t>元，固定资产累计折旧</w:t>
      </w:r>
      <w:r>
        <w:rPr>
          <w:rFonts w:hAnsi="仿宋_GB2312" w:cs="仿宋_GB2312"/>
          <w:color w:val="auto"/>
          <w:sz w:val="30"/>
          <w:szCs w:val="30"/>
        </w:rPr>
        <w:t>19</w:t>
      </w:r>
      <w:r>
        <w:rPr>
          <w:rFonts w:hint="eastAsia" w:hAnsi="仿宋_GB2312" w:cs="仿宋_GB2312"/>
          <w:color w:val="auto"/>
          <w:sz w:val="30"/>
          <w:szCs w:val="30"/>
        </w:rPr>
        <w:t>,</w:t>
      </w:r>
      <w:r>
        <w:rPr>
          <w:rFonts w:hAnsi="仿宋_GB2312" w:cs="仿宋_GB2312"/>
          <w:color w:val="auto"/>
          <w:sz w:val="30"/>
          <w:szCs w:val="30"/>
        </w:rPr>
        <w:t>716</w:t>
      </w:r>
      <w:r>
        <w:rPr>
          <w:rFonts w:hint="eastAsia" w:hAnsi="仿宋_GB2312" w:cs="仿宋_GB2312"/>
          <w:color w:val="auto"/>
          <w:sz w:val="30"/>
          <w:szCs w:val="30"/>
        </w:rPr>
        <w:t>,</w:t>
      </w:r>
      <w:r>
        <w:rPr>
          <w:rFonts w:hAnsi="仿宋_GB2312" w:cs="仿宋_GB2312"/>
          <w:color w:val="auto"/>
          <w:sz w:val="30"/>
          <w:szCs w:val="30"/>
        </w:rPr>
        <w:t>735.96</w:t>
      </w:r>
      <w:r>
        <w:rPr>
          <w:rFonts w:hint="eastAsia" w:hAnsi="仿宋_GB2312" w:cs="仿宋_GB2312"/>
          <w:color w:val="auto"/>
          <w:sz w:val="30"/>
          <w:szCs w:val="30"/>
        </w:rPr>
        <w:t>元，固定资产净值</w:t>
      </w:r>
      <w:r>
        <w:rPr>
          <w:rFonts w:hAnsi="仿宋_GB2312" w:cs="仿宋_GB2312"/>
          <w:color w:val="auto"/>
          <w:sz w:val="30"/>
          <w:szCs w:val="30"/>
        </w:rPr>
        <w:t>11,665,128.16</w:t>
      </w:r>
      <w:r>
        <w:rPr>
          <w:rFonts w:hint="eastAsia" w:hAnsi="仿宋_GB2312" w:cs="仿宋_GB2312"/>
          <w:color w:val="auto"/>
          <w:sz w:val="30"/>
          <w:szCs w:val="30"/>
        </w:rPr>
        <w:t>元</w:t>
      </w:r>
      <w:r>
        <w:rPr>
          <w:rFonts w:hint="eastAsia" w:hAnsi="仿宋_GB2312" w:cs="仿宋_GB2312"/>
          <w:color w:val="auto"/>
          <w:sz w:val="30"/>
          <w:szCs w:val="30"/>
          <w:lang w:eastAsia="zh-CN"/>
        </w:rPr>
        <w:t>，</w:t>
      </w:r>
      <w:r>
        <w:rPr>
          <w:rFonts w:hint="eastAsia" w:hAnsi="仿宋_GB2312" w:cs="仿宋_GB2312"/>
          <w:color w:val="auto"/>
          <w:sz w:val="30"/>
          <w:szCs w:val="30"/>
        </w:rPr>
        <w:t>对外投资及有价证券0.00元，在建工程0.00元，无形资产原值97,450.00元，无形资产累计摊销</w:t>
      </w:r>
      <w:r>
        <w:rPr>
          <w:rFonts w:hAnsi="仿宋_GB2312" w:cs="仿宋_GB2312"/>
          <w:color w:val="auto"/>
          <w:sz w:val="30"/>
          <w:szCs w:val="30"/>
        </w:rPr>
        <w:t>56</w:t>
      </w:r>
      <w:r>
        <w:rPr>
          <w:rFonts w:hint="eastAsia" w:hAnsi="仿宋_GB2312" w:cs="仿宋_GB2312"/>
          <w:color w:val="auto"/>
          <w:sz w:val="30"/>
          <w:szCs w:val="30"/>
        </w:rPr>
        <w:t>,</w:t>
      </w:r>
      <w:r>
        <w:rPr>
          <w:rFonts w:hAnsi="仿宋_GB2312" w:cs="仿宋_GB2312"/>
          <w:color w:val="auto"/>
          <w:sz w:val="30"/>
          <w:szCs w:val="30"/>
        </w:rPr>
        <w:t>546.88</w:t>
      </w:r>
      <w:r>
        <w:rPr>
          <w:rFonts w:hint="eastAsia" w:hAnsi="仿宋_GB2312" w:cs="仿宋_GB2312"/>
          <w:color w:val="auto"/>
          <w:sz w:val="30"/>
          <w:szCs w:val="30"/>
        </w:rPr>
        <w:t>元，无形资产净值</w:t>
      </w:r>
      <w:r>
        <w:rPr>
          <w:rFonts w:hAnsi="仿宋_GB2312" w:cs="仿宋_GB2312"/>
          <w:color w:val="auto"/>
          <w:sz w:val="30"/>
          <w:szCs w:val="30"/>
        </w:rPr>
        <w:t>40,903.12</w:t>
      </w:r>
      <w:r>
        <w:rPr>
          <w:rFonts w:hint="eastAsia" w:hAnsi="仿宋_GB2312" w:cs="仿宋_GB2312"/>
          <w:color w:val="auto"/>
          <w:sz w:val="30"/>
          <w:szCs w:val="30"/>
        </w:rPr>
        <w:t>元，其他资产0.00元。与上年相比，本年资产总额增加</w:t>
      </w:r>
      <w:r>
        <w:rPr>
          <w:rFonts w:hAnsi="仿宋_GB2312" w:cs="仿宋_GB2312"/>
          <w:color w:val="auto"/>
          <w:sz w:val="30"/>
          <w:szCs w:val="30"/>
        </w:rPr>
        <w:t>2</w:t>
      </w:r>
      <w:r>
        <w:rPr>
          <w:rFonts w:hint="eastAsia" w:hAnsi="仿宋_GB2312" w:cs="仿宋_GB2312"/>
          <w:color w:val="auto"/>
          <w:sz w:val="30"/>
          <w:szCs w:val="30"/>
        </w:rPr>
        <w:t>,</w:t>
      </w:r>
      <w:r>
        <w:rPr>
          <w:rFonts w:hAnsi="仿宋_GB2312" w:cs="仿宋_GB2312"/>
          <w:color w:val="auto"/>
          <w:sz w:val="30"/>
          <w:szCs w:val="30"/>
        </w:rPr>
        <w:t>294</w:t>
      </w:r>
      <w:r>
        <w:rPr>
          <w:rFonts w:hint="eastAsia" w:hAnsi="仿宋_GB2312" w:cs="仿宋_GB2312"/>
          <w:color w:val="auto"/>
          <w:sz w:val="30"/>
          <w:szCs w:val="30"/>
        </w:rPr>
        <w:t>,</w:t>
      </w:r>
      <w:r>
        <w:rPr>
          <w:rFonts w:hAnsi="仿宋_GB2312" w:cs="仿宋_GB2312"/>
          <w:color w:val="auto"/>
          <w:sz w:val="30"/>
          <w:szCs w:val="30"/>
        </w:rPr>
        <w:t>733.57</w:t>
      </w:r>
      <w:r>
        <w:rPr>
          <w:rFonts w:hint="eastAsia" w:hAnsi="仿宋_GB2312" w:cs="仿宋_GB2312"/>
          <w:color w:val="auto"/>
          <w:sz w:val="30"/>
          <w:szCs w:val="30"/>
        </w:rPr>
        <w:t>元，其中固定资产增加</w:t>
      </w:r>
      <w:r>
        <w:rPr>
          <w:rFonts w:hAnsi="仿宋_GB2312" w:cs="仿宋_GB2312"/>
          <w:color w:val="auto"/>
          <w:sz w:val="30"/>
          <w:szCs w:val="30"/>
        </w:rPr>
        <w:t>513</w:t>
      </w:r>
      <w:r>
        <w:rPr>
          <w:rFonts w:hint="eastAsia" w:hAnsi="仿宋_GB2312" w:cs="仿宋_GB2312"/>
          <w:color w:val="auto"/>
          <w:sz w:val="30"/>
          <w:szCs w:val="30"/>
        </w:rPr>
        <w:t>,</w:t>
      </w:r>
      <w:r>
        <w:rPr>
          <w:rFonts w:hAnsi="仿宋_GB2312" w:cs="仿宋_GB2312"/>
          <w:color w:val="auto"/>
          <w:sz w:val="30"/>
          <w:szCs w:val="30"/>
        </w:rPr>
        <w:t>545.51</w:t>
      </w:r>
      <w:r>
        <w:rPr>
          <w:rFonts w:hint="eastAsia" w:hAnsi="仿宋_GB2312" w:cs="仿宋_GB2312"/>
          <w:color w:val="auto"/>
          <w:sz w:val="30"/>
          <w:szCs w:val="30"/>
        </w:rPr>
        <w:t>元。处置房屋建筑物0.00平方米，账面原值0.00元；处置车辆0辆，账面原值0.00元；报废报损资产0项，账面原值0.00元，实现资产处置收入0.00元；资产使用收入0.00元，其中出租资产0.00平方米，资产出租收入0.00元。鉴于截至202</w:t>
      </w:r>
      <w:r>
        <w:rPr>
          <w:rFonts w:hAnsi="仿宋_GB2312" w:cs="仿宋_GB2312"/>
          <w:color w:val="auto"/>
          <w:sz w:val="30"/>
          <w:szCs w:val="30"/>
        </w:rPr>
        <w:t>5</w:t>
      </w:r>
      <w:r>
        <w:rPr>
          <w:rFonts w:hint="eastAsia" w:hAnsi="仿宋_GB2312" w:cs="仿宋_GB2312"/>
          <w:color w:val="auto"/>
          <w:sz w:val="30"/>
          <w:szCs w:val="30"/>
        </w:rPr>
        <w:t>年12月31日的国有资产占有使用精准数据，需在完成202</w:t>
      </w:r>
      <w:r>
        <w:rPr>
          <w:rFonts w:hAnsi="仿宋_GB2312" w:cs="仿宋_GB2312"/>
          <w:color w:val="auto"/>
          <w:sz w:val="30"/>
          <w:szCs w:val="30"/>
        </w:rPr>
        <w:t>5</w:t>
      </w:r>
      <w:r>
        <w:rPr>
          <w:rFonts w:hint="eastAsia" w:hAnsi="仿宋_GB2312" w:cs="仿宋_GB2312"/>
          <w:color w:val="auto"/>
          <w:sz w:val="30"/>
          <w:szCs w:val="30"/>
        </w:rPr>
        <w:t>年决算编制后才能汇总，此处公开为202</w:t>
      </w:r>
      <w:r>
        <w:rPr>
          <w:rFonts w:hAnsi="仿宋_GB2312" w:cs="仿宋_GB2312"/>
          <w:color w:val="auto"/>
          <w:sz w:val="30"/>
          <w:szCs w:val="30"/>
        </w:rPr>
        <w:t>6</w:t>
      </w:r>
      <w:r>
        <w:rPr>
          <w:rFonts w:hint="eastAsia" w:hAnsi="仿宋_GB2312" w:cs="仿宋_GB2312"/>
          <w:color w:val="auto"/>
          <w:sz w:val="30"/>
          <w:szCs w:val="30"/>
        </w:rPr>
        <w:t>年1月资产月报数。</w:t>
      </w:r>
    </w:p>
    <w:bookmarkEnd w:id="0"/>
    <w:p w14:paraId="1E21A863">
      <w:pPr>
        <w:spacing w:line="590" w:lineRule="exact"/>
        <w:rPr>
          <w:color w:val="auto"/>
        </w:rPr>
      </w:pP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2098" w:right="1587" w:bottom="1984" w:left="1587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169AE7A0-ED01-404C-85EB-B5C53E30ED23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F57E5574-7B9D-4B91-8C04-833B7F3A7690}"/>
  </w:font>
  <w:font w:name="??">
    <w:altName w:val="宋体"/>
    <w:panose1 w:val="00000000000000000000"/>
    <w:charset w:val="4D"/>
    <w:family w:val="roman"/>
    <w:pitch w:val="default"/>
    <w:sig w:usb0="00000000" w:usb1="00000000" w:usb2="00000010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  <w:embedRegular r:id="rId3" w:fontKey="{87BDC9C7-408D-4EF2-AC62-C8C4204F8AAB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2630779">
    <w:pPr>
      <w:pStyle w:val="6"/>
      <w:ind w:firstLine="360"/>
    </w:pPr>
  </w:p>
  <w:p w14:paraId="0C22A4B2">
    <w:pPr>
      <w:pStyle w:val="6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257202F">
    <w:pPr>
      <w:pStyle w:val="6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0F01B7A">
    <w:pPr>
      <w:pStyle w:val="6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  <w:ind w:firstLine="640"/>
      </w:pPr>
      <w:r>
        <w:separator/>
      </w:r>
    </w:p>
  </w:footnote>
  <w:footnote w:type="continuationSeparator" w:id="1">
    <w:p>
      <w:pPr>
        <w:spacing w:before="0" w:after="0" w:line="278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2C1CC82">
    <w:pPr>
      <w:ind w:firstLine="0" w:firstLineChars="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C21F530">
    <w:pPr>
      <w:pStyle w:val="7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868096C">
    <w:pPr>
      <w:pStyle w:val="7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A5ZTc3OTE2MzJmOWM1OTNmZWUwZGFlMzg3NmI4OWIifQ=="/>
  </w:docVars>
  <w:rsids>
    <w:rsidRoot w:val="00A17130"/>
    <w:rsid w:val="00001B1A"/>
    <w:rsid w:val="00001F68"/>
    <w:rsid w:val="000046A6"/>
    <w:rsid w:val="00012221"/>
    <w:rsid w:val="00013DC9"/>
    <w:rsid w:val="000165D3"/>
    <w:rsid w:val="000200B8"/>
    <w:rsid w:val="00023713"/>
    <w:rsid w:val="000277A8"/>
    <w:rsid w:val="000344CC"/>
    <w:rsid w:val="00034AE2"/>
    <w:rsid w:val="00037493"/>
    <w:rsid w:val="000407B7"/>
    <w:rsid w:val="000433D2"/>
    <w:rsid w:val="00045FF0"/>
    <w:rsid w:val="00051CBE"/>
    <w:rsid w:val="00063E95"/>
    <w:rsid w:val="00064228"/>
    <w:rsid w:val="00071546"/>
    <w:rsid w:val="000715D7"/>
    <w:rsid w:val="0007302A"/>
    <w:rsid w:val="0007392A"/>
    <w:rsid w:val="000777CA"/>
    <w:rsid w:val="00084A7D"/>
    <w:rsid w:val="00087A68"/>
    <w:rsid w:val="00092459"/>
    <w:rsid w:val="00096A3B"/>
    <w:rsid w:val="000A2F61"/>
    <w:rsid w:val="000B34EF"/>
    <w:rsid w:val="000C3655"/>
    <w:rsid w:val="000C67A8"/>
    <w:rsid w:val="000C7956"/>
    <w:rsid w:val="000E1C88"/>
    <w:rsid w:val="000E1DF1"/>
    <w:rsid w:val="000E64B8"/>
    <w:rsid w:val="000F6A93"/>
    <w:rsid w:val="000F7289"/>
    <w:rsid w:val="00105AD6"/>
    <w:rsid w:val="00106279"/>
    <w:rsid w:val="00113338"/>
    <w:rsid w:val="00116451"/>
    <w:rsid w:val="00116976"/>
    <w:rsid w:val="001321E2"/>
    <w:rsid w:val="00137C9E"/>
    <w:rsid w:val="0014424A"/>
    <w:rsid w:val="00145247"/>
    <w:rsid w:val="00150CA3"/>
    <w:rsid w:val="0015711A"/>
    <w:rsid w:val="00160258"/>
    <w:rsid w:val="00163A09"/>
    <w:rsid w:val="00165A37"/>
    <w:rsid w:val="00167827"/>
    <w:rsid w:val="00176506"/>
    <w:rsid w:val="00183A44"/>
    <w:rsid w:val="001843E0"/>
    <w:rsid w:val="001868AF"/>
    <w:rsid w:val="00193216"/>
    <w:rsid w:val="00196193"/>
    <w:rsid w:val="001A6118"/>
    <w:rsid w:val="001B0A39"/>
    <w:rsid w:val="001B221B"/>
    <w:rsid w:val="001B33A0"/>
    <w:rsid w:val="001B3E61"/>
    <w:rsid w:val="001B5617"/>
    <w:rsid w:val="001C5C0A"/>
    <w:rsid w:val="001D3FEA"/>
    <w:rsid w:val="001D7397"/>
    <w:rsid w:val="001E0242"/>
    <w:rsid w:val="001E5000"/>
    <w:rsid w:val="001F3E3B"/>
    <w:rsid w:val="001F6FDA"/>
    <w:rsid w:val="00212BE3"/>
    <w:rsid w:val="00213EA4"/>
    <w:rsid w:val="00220045"/>
    <w:rsid w:val="0022222B"/>
    <w:rsid w:val="00222686"/>
    <w:rsid w:val="00225D50"/>
    <w:rsid w:val="002309CE"/>
    <w:rsid w:val="0023359D"/>
    <w:rsid w:val="00233BDE"/>
    <w:rsid w:val="00240AF8"/>
    <w:rsid w:val="00252354"/>
    <w:rsid w:val="0026158B"/>
    <w:rsid w:val="00263117"/>
    <w:rsid w:val="00282328"/>
    <w:rsid w:val="00283965"/>
    <w:rsid w:val="0028462B"/>
    <w:rsid w:val="002905B5"/>
    <w:rsid w:val="0029292C"/>
    <w:rsid w:val="002954FD"/>
    <w:rsid w:val="002A4BB4"/>
    <w:rsid w:val="002B074E"/>
    <w:rsid w:val="002C30AB"/>
    <w:rsid w:val="002C5493"/>
    <w:rsid w:val="002D1602"/>
    <w:rsid w:val="002D33F9"/>
    <w:rsid w:val="002D5162"/>
    <w:rsid w:val="002D6B7D"/>
    <w:rsid w:val="002E64F7"/>
    <w:rsid w:val="002E77CC"/>
    <w:rsid w:val="002F0B7B"/>
    <w:rsid w:val="002F11A7"/>
    <w:rsid w:val="002F1CE4"/>
    <w:rsid w:val="002F6F35"/>
    <w:rsid w:val="002F7E28"/>
    <w:rsid w:val="003045F0"/>
    <w:rsid w:val="00313865"/>
    <w:rsid w:val="00316430"/>
    <w:rsid w:val="003460EE"/>
    <w:rsid w:val="003540C3"/>
    <w:rsid w:val="0035477B"/>
    <w:rsid w:val="003579D4"/>
    <w:rsid w:val="00364524"/>
    <w:rsid w:val="0036690F"/>
    <w:rsid w:val="00373E72"/>
    <w:rsid w:val="003802C2"/>
    <w:rsid w:val="003862A6"/>
    <w:rsid w:val="00390542"/>
    <w:rsid w:val="003A19AE"/>
    <w:rsid w:val="003A263C"/>
    <w:rsid w:val="003A4F10"/>
    <w:rsid w:val="003A6310"/>
    <w:rsid w:val="003B0A78"/>
    <w:rsid w:val="003B3D3B"/>
    <w:rsid w:val="003B4A6A"/>
    <w:rsid w:val="003C0887"/>
    <w:rsid w:val="003C1B27"/>
    <w:rsid w:val="003C421F"/>
    <w:rsid w:val="003D5D38"/>
    <w:rsid w:val="003D645C"/>
    <w:rsid w:val="003E100C"/>
    <w:rsid w:val="003E15A5"/>
    <w:rsid w:val="003E7A27"/>
    <w:rsid w:val="003F0B6B"/>
    <w:rsid w:val="003F4B13"/>
    <w:rsid w:val="00403FC8"/>
    <w:rsid w:val="004046CD"/>
    <w:rsid w:val="00405787"/>
    <w:rsid w:val="00405C76"/>
    <w:rsid w:val="00405D73"/>
    <w:rsid w:val="0041229A"/>
    <w:rsid w:val="004200BB"/>
    <w:rsid w:val="004314C8"/>
    <w:rsid w:val="00433290"/>
    <w:rsid w:val="004333B9"/>
    <w:rsid w:val="0044457F"/>
    <w:rsid w:val="00457140"/>
    <w:rsid w:val="00467D6D"/>
    <w:rsid w:val="00472165"/>
    <w:rsid w:val="004766C9"/>
    <w:rsid w:val="00477B16"/>
    <w:rsid w:val="00484830"/>
    <w:rsid w:val="00484D17"/>
    <w:rsid w:val="00490B98"/>
    <w:rsid w:val="00492A5A"/>
    <w:rsid w:val="004A096D"/>
    <w:rsid w:val="004A6013"/>
    <w:rsid w:val="004B02D0"/>
    <w:rsid w:val="004B3971"/>
    <w:rsid w:val="004B7D85"/>
    <w:rsid w:val="004C15E4"/>
    <w:rsid w:val="004C6568"/>
    <w:rsid w:val="004C7458"/>
    <w:rsid w:val="004D0E67"/>
    <w:rsid w:val="004D6ABF"/>
    <w:rsid w:val="004E1070"/>
    <w:rsid w:val="004E18B8"/>
    <w:rsid w:val="004E1FA1"/>
    <w:rsid w:val="004E34F1"/>
    <w:rsid w:val="004E36B9"/>
    <w:rsid w:val="004E4731"/>
    <w:rsid w:val="004F3349"/>
    <w:rsid w:val="004F3489"/>
    <w:rsid w:val="004F37A6"/>
    <w:rsid w:val="004F3C37"/>
    <w:rsid w:val="004F6766"/>
    <w:rsid w:val="00501009"/>
    <w:rsid w:val="00511288"/>
    <w:rsid w:val="005134CB"/>
    <w:rsid w:val="00514C73"/>
    <w:rsid w:val="005215BD"/>
    <w:rsid w:val="005218FF"/>
    <w:rsid w:val="00521D9B"/>
    <w:rsid w:val="00521FB3"/>
    <w:rsid w:val="00535496"/>
    <w:rsid w:val="00540F22"/>
    <w:rsid w:val="00545974"/>
    <w:rsid w:val="00546FB6"/>
    <w:rsid w:val="00547077"/>
    <w:rsid w:val="00547D15"/>
    <w:rsid w:val="00551DEB"/>
    <w:rsid w:val="005523EE"/>
    <w:rsid w:val="00555CB9"/>
    <w:rsid w:val="00557A2F"/>
    <w:rsid w:val="0057239E"/>
    <w:rsid w:val="005725D2"/>
    <w:rsid w:val="00574DD7"/>
    <w:rsid w:val="00575F83"/>
    <w:rsid w:val="00587753"/>
    <w:rsid w:val="00590AC7"/>
    <w:rsid w:val="00592681"/>
    <w:rsid w:val="005929C1"/>
    <w:rsid w:val="005A3399"/>
    <w:rsid w:val="005B00D0"/>
    <w:rsid w:val="005B76FE"/>
    <w:rsid w:val="005C2F3E"/>
    <w:rsid w:val="005D418B"/>
    <w:rsid w:val="005D6482"/>
    <w:rsid w:val="005D6B70"/>
    <w:rsid w:val="005E2F85"/>
    <w:rsid w:val="005F57D9"/>
    <w:rsid w:val="005F6BD6"/>
    <w:rsid w:val="00603095"/>
    <w:rsid w:val="0060386B"/>
    <w:rsid w:val="00611236"/>
    <w:rsid w:val="00611946"/>
    <w:rsid w:val="006209EE"/>
    <w:rsid w:val="00635BEA"/>
    <w:rsid w:val="00640454"/>
    <w:rsid w:val="00644ADC"/>
    <w:rsid w:val="0064519B"/>
    <w:rsid w:val="006504A6"/>
    <w:rsid w:val="00653467"/>
    <w:rsid w:val="00660B2B"/>
    <w:rsid w:val="0067301E"/>
    <w:rsid w:val="00673550"/>
    <w:rsid w:val="0068139D"/>
    <w:rsid w:val="00697E5C"/>
    <w:rsid w:val="006A12D4"/>
    <w:rsid w:val="006A3549"/>
    <w:rsid w:val="006A7882"/>
    <w:rsid w:val="006B1E3A"/>
    <w:rsid w:val="006B47BC"/>
    <w:rsid w:val="006C0EBF"/>
    <w:rsid w:val="006C2836"/>
    <w:rsid w:val="006C443A"/>
    <w:rsid w:val="006C48BC"/>
    <w:rsid w:val="006E3530"/>
    <w:rsid w:val="006F57C5"/>
    <w:rsid w:val="0070158F"/>
    <w:rsid w:val="00705A92"/>
    <w:rsid w:val="007072ED"/>
    <w:rsid w:val="00721205"/>
    <w:rsid w:val="00730978"/>
    <w:rsid w:val="007407FD"/>
    <w:rsid w:val="00747F8C"/>
    <w:rsid w:val="00751AD6"/>
    <w:rsid w:val="00753764"/>
    <w:rsid w:val="00755A51"/>
    <w:rsid w:val="00760596"/>
    <w:rsid w:val="007714B4"/>
    <w:rsid w:val="00771F7E"/>
    <w:rsid w:val="00773B78"/>
    <w:rsid w:val="00785CDE"/>
    <w:rsid w:val="007861AB"/>
    <w:rsid w:val="007904E0"/>
    <w:rsid w:val="007B7B94"/>
    <w:rsid w:val="007C1577"/>
    <w:rsid w:val="007C7308"/>
    <w:rsid w:val="007D0D38"/>
    <w:rsid w:val="007D282C"/>
    <w:rsid w:val="007D340E"/>
    <w:rsid w:val="007D370E"/>
    <w:rsid w:val="007E5A16"/>
    <w:rsid w:val="007F45A7"/>
    <w:rsid w:val="007F67C5"/>
    <w:rsid w:val="007F6839"/>
    <w:rsid w:val="007F741F"/>
    <w:rsid w:val="00801E51"/>
    <w:rsid w:val="00806000"/>
    <w:rsid w:val="00806053"/>
    <w:rsid w:val="00806FEE"/>
    <w:rsid w:val="008129B9"/>
    <w:rsid w:val="0082265D"/>
    <w:rsid w:val="008240C3"/>
    <w:rsid w:val="00834A1D"/>
    <w:rsid w:val="00834EA8"/>
    <w:rsid w:val="00836CBA"/>
    <w:rsid w:val="008448E8"/>
    <w:rsid w:val="008515C1"/>
    <w:rsid w:val="00851C5B"/>
    <w:rsid w:val="00854545"/>
    <w:rsid w:val="00854CCB"/>
    <w:rsid w:val="008559FB"/>
    <w:rsid w:val="008713F3"/>
    <w:rsid w:val="008724AC"/>
    <w:rsid w:val="00872D77"/>
    <w:rsid w:val="008770B1"/>
    <w:rsid w:val="00877DA5"/>
    <w:rsid w:val="00880D49"/>
    <w:rsid w:val="008814D5"/>
    <w:rsid w:val="00886DEA"/>
    <w:rsid w:val="00887A52"/>
    <w:rsid w:val="00895BA5"/>
    <w:rsid w:val="008A0D1E"/>
    <w:rsid w:val="008A4D94"/>
    <w:rsid w:val="008A6261"/>
    <w:rsid w:val="008B09A3"/>
    <w:rsid w:val="008B1680"/>
    <w:rsid w:val="008B2490"/>
    <w:rsid w:val="008B27FE"/>
    <w:rsid w:val="008C255B"/>
    <w:rsid w:val="008C2D97"/>
    <w:rsid w:val="008D265D"/>
    <w:rsid w:val="008D30BB"/>
    <w:rsid w:val="008D534C"/>
    <w:rsid w:val="008F3999"/>
    <w:rsid w:val="008F62A6"/>
    <w:rsid w:val="00900D48"/>
    <w:rsid w:val="00902FAA"/>
    <w:rsid w:val="0090306A"/>
    <w:rsid w:val="00903450"/>
    <w:rsid w:val="00903640"/>
    <w:rsid w:val="00903E7D"/>
    <w:rsid w:val="009046C6"/>
    <w:rsid w:val="00910BAE"/>
    <w:rsid w:val="0091232D"/>
    <w:rsid w:val="00915923"/>
    <w:rsid w:val="00916F86"/>
    <w:rsid w:val="00921E03"/>
    <w:rsid w:val="0092204D"/>
    <w:rsid w:val="00924A22"/>
    <w:rsid w:val="00926702"/>
    <w:rsid w:val="00927EE2"/>
    <w:rsid w:val="009371A1"/>
    <w:rsid w:val="009376A9"/>
    <w:rsid w:val="00943614"/>
    <w:rsid w:val="00943DED"/>
    <w:rsid w:val="00955D4C"/>
    <w:rsid w:val="00960D63"/>
    <w:rsid w:val="00961F43"/>
    <w:rsid w:val="00962BA2"/>
    <w:rsid w:val="0096593B"/>
    <w:rsid w:val="00966DDE"/>
    <w:rsid w:val="0096763F"/>
    <w:rsid w:val="00975DE5"/>
    <w:rsid w:val="00977B93"/>
    <w:rsid w:val="0098190A"/>
    <w:rsid w:val="00985823"/>
    <w:rsid w:val="00987485"/>
    <w:rsid w:val="00991A31"/>
    <w:rsid w:val="009935F3"/>
    <w:rsid w:val="00996EFA"/>
    <w:rsid w:val="009A46EC"/>
    <w:rsid w:val="009A53BF"/>
    <w:rsid w:val="009A7CAB"/>
    <w:rsid w:val="009B21FF"/>
    <w:rsid w:val="009D5F63"/>
    <w:rsid w:val="009E0502"/>
    <w:rsid w:val="009E0B30"/>
    <w:rsid w:val="009F2F71"/>
    <w:rsid w:val="009F3C13"/>
    <w:rsid w:val="009F6AEC"/>
    <w:rsid w:val="00A0238B"/>
    <w:rsid w:val="00A14164"/>
    <w:rsid w:val="00A14FDE"/>
    <w:rsid w:val="00A16FE7"/>
    <w:rsid w:val="00A17130"/>
    <w:rsid w:val="00A20ADF"/>
    <w:rsid w:val="00A24121"/>
    <w:rsid w:val="00A2698C"/>
    <w:rsid w:val="00A27880"/>
    <w:rsid w:val="00A348B2"/>
    <w:rsid w:val="00A41D96"/>
    <w:rsid w:val="00A43070"/>
    <w:rsid w:val="00A44BEC"/>
    <w:rsid w:val="00A451F0"/>
    <w:rsid w:val="00A52B90"/>
    <w:rsid w:val="00A5342A"/>
    <w:rsid w:val="00A53ED8"/>
    <w:rsid w:val="00A63B74"/>
    <w:rsid w:val="00A64A75"/>
    <w:rsid w:val="00A66324"/>
    <w:rsid w:val="00A716CA"/>
    <w:rsid w:val="00A71FE8"/>
    <w:rsid w:val="00A7271A"/>
    <w:rsid w:val="00A738E3"/>
    <w:rsid w:val="00A77675"/>
    <w:rsid w:val="00A778CC"/>
    <w:rsid w:val="00A77F04"/>
    <w:rsid w:val="00A93D0B"/>
    <w:rsid w:val="00A951C6"/>
    <w:rsid w:val="00A955BC"/>
    <w:rsid w:val="00AA2F1C"/>
    <w:rsid w:val="00AA405C"/>
    <w:rsid w:val="00AA4718"/>
    <w:rsid w:val="00AA7874"/>
    <w:rsid w:val="00AB0DE2"/>
    <w:rsid w:val="00AB42D1"/>
    <w:rsid w:val="00AC023E"/>
    <w:rsid w:val="00AC1282"/>
    <w:rsid w:val="00AD33EE"/>
    <w:rsid w:val="00AD3ABB"/>
    <w:rsid w:val="00AE15FF"/>
    <w:rsid w:val="00AF1DDE"/>
    <w:rsid w:val="00AF2B9F"/>
    <w:rsid w:val="00AF615B"/>
    <w:rsid w:val="00B126C9"/>
    <w:rsid w:val="00B13005"/>
    <w:rsid w:val="00B17EEB"/>
    <w:rsid w:val="00B237F1"/>
    <w:rsid w:val="00B33768"/>
    <w:rsid w:val="00B40149"/>
    <w:rsid w:val="00B440D7"/>
    <w:rsid w:val="00B44953"/>
    <w:rsid w:val="00B51A49"/>
    <w:rsid w:val="00B57F6C"/>
    <w:rsid w:val="00B601ED"/>
    <w:rsid w:val="00B60EB8"/>
    <w:rsid w:val="00B6137F"/>
    <w:rsid w:val="00B61CD1"/>
    <w:rsid w:val="00B62529"/>
    <w:rsid w:val="00B67DB5"/>
    <w:rsid w:val="00B7035C"/>
    <w:rsid w:val="00B7207D"/>
    <w:rsid w:val="00B810E4"/>
    <w:rsid w:val="00B84EDD"/>
    <w:rsid w:val="00B84FAA"/>
    <w:rsid w:val="00B862BB"/>
    <w:rsid w:val="00B86A76"/>
    <w:rsid w:val="00B96AA5"/>
    <w:rsid w:val="00B97425"/>
    <w:rsid w:val="00BA4EDC"/>
    <w:rsid w:val="00BA7AAA"/>
    <w:rsid w:val="00BB1586"/>
    <w:rsid w:val="00BB4BAB"/>
    <w:rsid w:val="00BB6FB4"/>
    <w:rsid w:val="00BC1446"/>
    <w:rsid w:val="00BC3B98"/>
    <w:rsid w:val="00BC4DBC"/>
    <w:rsid w:val="00BC6220"/>
    <w:rsid w:val="00BC69D5"/>
    <w:rsid w:val="00BD02FF"/>
    <w:rsid w:val="00BD2D4B"/>
    <w:rsid w:val="00C02C9D"/>
    <w:rsid w:val="00C04F41"/>
    <w:rsid w:val="00C051F1"/>
    <w:rsid w:val="00C06B1B"/>
    <w:rsid w:val="00C07E40"/>
    <w:rsid w:val="00C13313"/>
    <w:rsid w:val="00C142BE"/>
    <w:rsid w:val="00C14E48"/>
    <w:rsid w:val="00C234D1"/>
    <w:rsid w:val="00C23F59"/>
    <w:rsid w:val="00C24359"/>
    <w:rsid w:val="00C24F56"/>
    <w:rsid w:val="00C30479"/>
    <w:rsid w:val="00C316DD"/>
    <w:rsid w:val="00C32A66"/>
    <w:rsid w:val="00C37418"/>
    <w:rsid w:val="00C43BFA"/>
    <w:rsid w:val="00C51CBF"/>
    <w:rsid w:val="00C52E4F"/>
    <w:rsid w:val="00C53C24"/>
    <w:rsid w:val="00C55381"/>
    <w:rsid w:val="00C62200"/>
    <w:rsid w:val="00C649AF"/>
    <w:rsid w:val="00C71F84"/>
    <w:rsid w:val="00C7457F"/>
    <w:rsid w:val="00C77C1B"/>
    <w:rsid w:val="00C839E3"/>
    <w:rsid w:val="00C86B77"/>
    <w:rsid w:val="00C950DC"/>
    <w:rsid w:val="00C97789"/>
    <w:rsid w:val="00CA32CD"/>
    <w:rsid w:val="00CB334F"/>
    <w:rsid w:val="00CC312C"/>
    <w:rsid w:val="00CC6708"/>
    <w:rsid w:val="00CD3552"/>
    <w:rsid w:val="00CE281C"/>
    <w:rsid w:val="00CE2890"/>
    <w:rsid w:val="00CE375B"/>
    <w:rsid w:val="00CE4071"/>
    <w:rsid w:val="00CF2D9B"/>
    <w:rsid w:val="00CF4346"/>
    <w:rsid w:val="00CF69DF"/>
    <w:rsid w:val="00D00EDC"/>
    <w:rsid w:val="00D0313D"/>
    <w:rsid w:val="00D05161"/>
    <w:rsid w:val="00D06BE8"/>
    <w:rsid w:val="00D12661"/>
    <w:rsid w:val="00D12AED"/>
    <w:rsid w:val="00D2448A"/>
    <w:rsid w:val="00D25DD4"/>
    <w:rsid w:val="00D26E84"/>
    <w:rsid w:val="00D312FC"/>
    <w:rsid w:val="00D31981"/>
    <w:rsid w:val="00D32550"/>
    <w:rsid w:val="00D42EAE"/>
    <w:rsid w:val="00D4493F"/>
    <w:rsid w:val="00D54D2E"/>
    <w:rsid w:val="00D6000A"/>
    <w:rsid w:val="00D6281D"/>
    <w:rsid w:val="00D65F2A"/>
    <w:rsid w:val="00D6768F"/>
    <w:rsid w:val="00D70356"/>
    <w:rsid w:val="00D73060"/>
    <w:rsid w:val="00D74722"/>
    <w:rsid w:val="00D75E9C"/>
    <w:rsid w:val="00D92D76"/>
    <w:rsid w:val="00D933A4"/>
    <w:rsid w:val="00D94DCB"/>
    <w:rsid w:val="00D96CEC"/>
    <w:rsid w:val="00DB2C5D"/>
    <w:rsid w:val="00DB492E"/>
    <w:rsid w:val="00DB4B50"/>
    <w:rsid w:val="00DD1BD8"/>
    <w:rsid w:val="00DD221F"/>
    <w:rsid w:val="00DD325E"/>
    <w:rsid w:val="00DE30E7"/>
    <w:rsid w:val="00DE4ECE"/>
    <w:rsid w:val="00DF122E"/>
    <w:rsid w:val="00E13764"/>
    <w:rsid w:val="00E15645"/>
    <w:rsid w:val="00E17A8E"/>
    <w:rsid w:val="00E244FC"/>
    <w:rsid w:val="00E24624"/>
    <w:rsid w:val="00E26860"/>
    <w:rsid w:val="00E27207"/>
    <w:rsid w:val="00E34909"/>
    <w:rsid w:val="00E36FBF"/>
    <w:rsid w:val="00E37ABB"/>
    <w:rsid w:val="00E45113"/>
    <w:rsid w:val="00E50D4D"/>
    <w:rsid w:val="00E557F2"/>
    <w:rsid w:val="00E5580C"/>
    <w:rsid w:val="00E60600"/>
    <w:rsid w:val="00E6242B"/>
    <w:rsid w:val="00E63DB4"/>
    <w:rsid w:val="00E66B2E"/>
    <w:rsid w:val="00E7300B"/>
    <w:rsid w:val="00E75FFF"/>
    <w:rsid w:val="00E84B71"/>
    <w:rsid w:val="00E85685"/>
    <w:rsid w:val="00E865E2"/>
    <w:rsid w:val="00E917CC"/>
    <w:rsid w:val="00E94045"/>
    <w:rsid w:val="00E9507F"/>
    <w:rsid w:val="00E953AD"/>
    <w:rsid w:val="00E9597C"/>
    <w:rsid w:val="00EA2BFD"/>
    <w:rsid w:val="00EA649A"/>
    <w:rsid w:val="00EA793A"/>
    <w:rsid w:val="00EB4DB2"/>
    <w:rsid w:val="00EB688C"/>
    <w:rsid w:val="00EC374A"/>
    <w:rsid w:val="00EE3B26"/>
    <w:rsid w:val="00EE5381"/>
    <w:rsid w:val="00EE713E"/>
    <w:rsid w:val="00EF0786"/>
    <w:rsid w:val="00EF3FDA"/>
    <w:rsid w:val="00EF511D"/>
    <w:rsid w:val="00F05066"/>
    <w:rsid w:val="00F07232"/>
    <w:rsid w:val="00F07330"/>
    <w:rsid w:val="00F20859"/>
    <w:rsid w:val="00F20E84"/>
    <w:rsid w:val="00F24EA6"/>
    <w:rsid w:val="00F27041"/>
    <w:rsid w:val="00F42040"/>
    <w:rsid w:val="00F44461"/>
    <w:rsid w:val="00F44F07"/>
    <w:rsid w:val="00F45197"/>
    <w:rsid w:val="00F47AF0"/>
    <w:rsid w:val="00F5079F"/>
    <w:rsid w:val="00F52A11"/>
    <w:rsid w:val="00F5506E"/>
    <w:rsid w:val="00F56E24"/>
    <w:rsid w:val="00F73D30"/>
    <w:rsid w:val="00F73F97"/>
    <w:rsid w:val="00F80308"/>
    <w:rsid w:val="00F84E20"/>
    <w:rsid w:val="00F87D3B"/>
    <w:rsid w:val="00F937EF"/>
    <w:rsid w:val="00F93AB5"/>
    <w:rsid w:val="00FA3D69"/>
    <w:rsid w:val="00FA480F"/>
    <w:rsid w:val="00FB54E2"/>
    <w:rsid w:val="00FC0012"/>
    <w:rsid w:val="00FC0E42"/>
    <w:rsid w:val="00FC1623"/>
    <w:rsid w:val="00FD1925"/>
    <w:rsid w:val="00FD1F85"/>
    <w:rsid w:val="00FD2703"/>
    <w:rsid w:val="00FD5AEF"/>
    <w:rsid w:val="00FD750D"/>
    <w:rsid w:val="00FE4A88"/>
    <w:rsid w:val="00FF2607"/>
    <w:rsid w:val="00FF4461"/>
    <w:rsid w:val="00FF6759"/>
    <w:rsid w:val="01981D96"/>
    <w:rsid w:val="021252B0"/>
    <w:rsid w:val="029F7154"/>
    <w:rsid w:val="02B50726"/>
    <w:rsid w:val="02F456F2"/>
    <w:rsid w:val="04B862AB"/>
    <w:rsid w:val="056B2644"/>
    <w:rsid w:val="069936F9"/>
    <w:rsid w:val="06DE2BA7"/>
    <w:rsid w:val="073065CD"/>
    <w:rsid w:val="073836D3"/>
    <w:rsid w:val="075B5D40"/>
    <w:rsid w:val="07702E6D"/>
    <w:rsid w:val="082500FC"/>
    <w:rsid w:val="08E90232"/>
    <w:rsid w:val="09EA6F07"/>
    <w:rsid w:val="0BAB6B6A"/>
    <w:rsid w:val="0CF14A50"/>
    <w:rsid w:val="0D5648B3"/>
    <w:rsid w:val="0D6B7290"/>
    <w:rsid w:val="0D8713A0"/>
    <w:rsid w:val="0DA466A2"/>
    <w:rsid w:val="0DA60287"/>
    <w:rsid w:val="0DCA6A96"/>
    <w:rsid w:val="0DD028B8"/>
    <w:rsid w:val="0DF02F5A"/>
    <w:rsid w:val="0DF5439D"/>
    <w:rsid w:val="0E010CC3"/>
    <w:rsid w:val="0E8D69FB"/>
    <w:rsid w:val="0EBD066F"/>
    <w:rsid w:val="0F865924"/>
    <w:rsid w:val="0F9022FF"/>
    <w:rsid w:val="10D73F5D"/>
    <w:rsid w:val="11643A43"/>
    <w:rsid w:val="11856C88"/>
    <w:rsid w:val="11964747"/>
    <w:rsid w:val="11E44B84"/>
    <w:rsid w:val="11EF0BEB"/>
    <w:rsid w:val="13471B9F"/>
    <w:rsid w:val="134C29E0"/>
    <w:rsid w:val="135D2E40"/>
    <w:rsid w:val="13996A54"/>
    <w:rsid w:val="13CC1D73"/>
    <w:rsid w:val="14192060"/>
    <w:rsid w:val="14731F34"/>
    <w:rsid w:val="14A71073"/>
    <w:rsid w:val="151524AC"/>
    <w:rsid w:val="1546362C"/>
    <w:rsid w:val="16027CCE"/>
    <w:rsid w:val="16B14B4F"/>
    <w:rsid w:val="16C15D36"/>
    <w:rsid w:val="16EE1A6A"/>
    <w:rsid w:val="187E2872"/>
    <w:rsid w:val="18F5247C"/>
    <w:rsid w:val="19C257AA"/>
    <w:rsid w:val="1BFFEE92"/>
    <w:rsid w:val="1C9373BD"/>
    <w:rsid w:val="1D1D0F4A"/>
    <w:rsid w:val="1E7B4D73"/>
    <w:rsid w:val="1EBB0A1A"/>
    <w:rsid w:val="1FB817C9"/>
    <w:rsid w:val="20EF2BFD"/>
    <w:rsid w:val="21E134AC"/>
    <w:rsid w:val="22925F36"/>
    <w:rsid w:val="231177A3"/>
    <w:rsid w:val="232057F5"/>
    <w:rsid w:val="24003A9F"/>
    <w:rsid w:val="24D46CDA"/>
    <w:rsid w:val="24FE4843"/>
    <w:rsid w:val="253B6559"/>
    <w:rsid w:val="25493047"/>
    <w:rsid w:val="255B7B35"/>
    <w:rsid w:val="26972F43"/>
    <w:rsid w:val="27455C6D"/>
    <w:rsid w:val="277B4399"/>
    <w:rsid w:val="278F0E5E"/>
    <w:rsid w:val="289F315B"/>
    <w:rsid w:val="28D0604B"/>
    <w:rsid w:val="2AB92AF5"/>
    <w:rsid w:val="2ACD0453"/>
    <w:rsid w:val="2C864D5D"/>
    <w:rsid w:val="2C9946DB"/>
    <w:rsid w:val="2CA67438"/>
    <w:rsid w:val="2CFF241A"/>
    <w:rsid w:val="2D2325AC"/>
    <w:rsid w:val="2D2F779D"/>
    <w:rsid w:val="2F8A06C1"/>
    <w:rsid w:val="2FE54245"/>
    <w:rsid w:val="30550CCF"/>
    <w:rsid w:val="3155096C"/>
    <w:rsid w:val="31D67BED"/>
    <w:rsid w:val="3293788C"/>
    <w:rsid w:val="32A530C3"/>
    <w:rsid w:val="335A1D71"/>
    <w:rsid w:val="35E13004"/>
    <w:rsid w:val="36783969"/>
    <w:rsid w:val="36B22D87"/>
    <w:rsid w:val="375A6BCB"/>
    <w:rsid w:val="37785DB7"/>
    <w:rsid w:val="377F4883"/>
    <w:rsid w:val="38353194"/>
    <w:rsid w:val="3882287D"/>
    <w:rsid w:val="388F0AF6"/>
    <w:rsid w:val="39A772AB"/>
    <w:rsid w:val="3A667F7C"/>
    <w:rsid w:val="3A6F5EF1"/>
    <w:rsid w:val="3A7149CC"/>
    <w:rsid w:val="3A9240FF"/>
    <w:rsid w:val="3AB31D65"/>
    <w:rsid w:val="3BD73D62"/>
    <w:rsid w:val="3BEB0739"/>
    <w:rsid w:val="3C3E03A3"/>
    <w:rsid w:val="3CE41DAC"/>
    <w:rsid w:val="3CE97620"/>
    <w:rsid w:val="3D772A37"/>
    <w:rsid w:val="3D8175A7"/>
    <w:rsid w:val="3DC91ED4"/>
    <w:rsid w:val="3E5500EC"/>
    <w:rsid w:val="3E934BC1"/>
    <w:rsid w:val="3EA03A5D"/>
    <w:rsid w:val="3F367F1D"/>
    <w:rsid w:val="3FA532F5"/>
    <w:rsid w:val="3FF552BF"/>
    <w:rsid w:val="40681BF2"/>
    <w:rsid w:val="40721429"/>
    <w:rsid w:val="414508EB"/>
    <w:rsid w:val="425B6905"/>
    <w:rsid w:val="42CB6BCE"/>
    <w:rsid w:val="439671DC"/>
    <w:rsid w:val="43D2457E"/>
    <w:rsid w:val="452B1519"/>
    <w:rsid w:val="45927E77"/>
    <w:rsid w:val="472D60AA"/>
    <w:rsid w:val="486A6E89"/>
    <w:rsid w:val="48934632"/>
    <w:rsid w:val="48B85E47"/>
    <w:rsid w:val="4A370FED"/>
    <w:rsid w:val="4BB91051"/>
    <w:rsid w:val="4BDA418E"/>
    <w:rsid w:val="4BF2341E"/>
    <w:rsid w:val="4C4F0C97"/>
    <w:rsid w:val="4C7B3DFC"/>
    <w:rsid w:val="4CAA3CF8"/>
    <w:rsid w:val="4D403526"/>
    <w:rsid w:val="4D63E01F"/>
    <w:rsid w:val="4E40453B"/>
    <w:rsid w:val="4EB33338"/>
    <w:rsid w:val="4EF179BD"/>
    <w:rsid w:val="4F626B0C"/>
    <w:rsid w:val="500C2A05"/>
    <w:rsid w:val="50131B41"/>
    <w:rsid w:val="5039786D"/>
    <w:rsid w:val="50A52454"/>
    <w:rsid w:val="50ED2406"/>
    <w:rsid w:val="51134562"/>
    <w:rsid w:val="51801046"/>
    <w:rsid w:val="51DF2696"/>
    <w:rsid w:val="51E205A4"/>
    <w:rsid w:val="52212DFE"/>
    <w:rsid w:val="52D970E6"/>
    <w:rsid w:val="538B663E"/>
    <w:rsid w:val="538E5D9A"/>
    <w:rsid w:val="5402266C"/>
    <w:rsid w:val="54240834"/>
    <w:rsid w:val="553920BD"/>
    <w:rsid w:val="56620606"/>
    <w:rsid w:val="567852EC"/>
    <w:rsid w:val="570D51C6"/>
    <w:rsid w:val="58E659DA"/>
    <w:rsid w:val="59511312"/>
    <w:rsid w:val="5A764921"/>
    <w:rsid w:val="5A9B522E"/>
    <w:rsid w:val="5AF34ABD"/>
    <w:rsid w:val="5B0A24EF"/>
    <w:rsid w:val="5BE663CF"/>
    <w:rsid w:val="5C25339C"/>
    <w:rsid w:val="5C545A2F"/>
    <w:rsid w:val="5C7349C4"/>
    <w:rsid w:val="5D483164"/>
    <w:rsid w:val="5D6C1ECE"/>
    <w:rsid w:val="5DE731BF"/>
    <w:rsid w:val="5F103E8F"/>
    <w:rsid w:val="5FEC48FC"/>
    <w:rsid w:val="607E304A"/>
    <w:rsid w:val="60B53DB7"/>
    <w:rsid w:val="60E3786E"/>
    <w:rsid w:val="618D5C0D"/>
    <w:rsid w:val="624D0825"/>
    <w:rsid w:val="6263077A"/>
    <w:rsid w:val="62936020"/>
    <w:rsid w:val="6314473B"/>
    <w:rsid w:val="63256689"/>
    <w:rsid w:val="635E7280"/>
    <w:rsid w:val="63690012"/>
    <w:rsid w:val="63707479"/>
    <w:rsid w:val="63A22262"/>
    <w:rsid w:val="641937E6"/>
    <w:rsid w:val="6481138B"/>
    <w:rsid w:val="648B3FB8"/>
    <w:rsid w:val="651E623F"/>
    <w:rsid w:val="65242442"/>
    <w:rsid w:val="67534A49"/>
    <w:rsid w:val="67FE10AD"/>
    <w:rsid w:val="684B418A"/>
    <w:rsid w:val="68907DEF"/>
    <w:rsid w:val="68E569E2"/>
    <w:rsid w:val="699ACAF3"/>
    <w:rsid w:val="69C23710"/>
    <w:rsid w:val="6BD91AAD"/>
    <w:rsid w:val="6BFD2F2C"/>
    <w:rsid w:val="6D1A3B54"/>
    <w:rsid w:val="6DA04FC0"/>
    <w:rsid w:val="6E0732BA"/>
    <w:rsid w:val="6E3B3CE2"/>
    <w:rsid w:val="6ED6BA1A"/>
    <w:rsid w:val="6F9E0BBA"/>
    <w:rsid w:val="6FEDBB2B"/>
    <w:rsid w:val="705574B6"/>
    <w:rsid w:val="70621441"/>
    <w:rsid w:val="707909F3"/>
    <w:rsid w:val="71245578"/>
    <w:rsid w:val="714D31A3"/>
    <w:rsid w:val="721775DF"/>
    <w:rsid w:val="72EA439B"/>
    <w:rsid w:val="73467A28"/>
    <w:rsid w:val="736B3932"/>
    <w:rsid w:val="73734141"/>
    <w:rsid w:val="73B01345"/>
    <w:rsid w:val="74C2787E"/>
    <w:rsid w:val="76470F18"/>
    <w:rsid w:val="766F7295"/>
    <w:rsid w:val="7682346D"/>
    <w:rsid w:val="7715608F"/>
    <w:rsid w:val="779D04DD"/>
    <w:rsid w:val="77CE623E"/>
    <w:rsid w:val="78170157"/>
    <w:rsid w:val="7931117A"/>
    <w:rsid w:val="79C92109"/>
    <w:rsid w:val="7AB7838D"/>
    <w:rsid w:val="7AD044D2"/>
    <w:rsid w:val="7CB65D44"/>
    <w:rsid w:val="7CBB1486"/>
    <w:rsid w:val="7DBB1012"/>
    <w:rsid w:val="7DBF7D5A"/>
    <w:rsid w:val="7DDDBE8D"/>
    <w:rsid w:val="7E1E7F1F"/>
    <w:rsid w:val="7F203823"/>
    <w:rsid w:val="EF7E1117"/>
    <w:rsid w:val="FB3664ED"/>
    <w:rsid w:val="FB3F0660"/>
    <w:rsid w:val="FDFF7243"/>
    <w:rsid w:val="FF7E7C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iPriority="0" w:semiHidden="0" w:name="Normal Indent"/>
    <w:lsdException w:uiPriority="99" w:name="footnote text"/>
    <w:lsdException w:qFormat="1" w:uiPriority="0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0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qFormat="1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78" w:lineRule="auto"/>
      <w:ind w:firstLine="640" w:firstLineChars="200"/>
    </w:pPr>
    <w:rPr>
      <w:rFonts w:ascii="仿宋_GB2312" w:eastAsia="仿宋_GB2312" w:hAnsiTheme="minorHAnsi" w:cstheme="minorBidi"/>
      <w:sz w:val="32"/>
      <w:szCs w:val="32"/>
      <w:lang w:val="en-US" w:eastAsia="zh-CN" w:bidi="ar-SA"/>
    </w:rPr>
  </w:style>
  <w:style w:type="character" w:default="1" w:styleId="10">
    <w:name w:val="Default Paragraph Font"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unhideWhenUsed/>
    <w:qFormat/>
    <w:uiPriority w:val="0"/>
    <w:pPr>
      <w:ind w:firstLine="200"/>
    </w:pPr>
    <w:rPr>
      <w:rFonts w:ascii="??" w:hAnsi="??" w:eastAsia="宋体" w:cs="Times New Roman"/>
      <w:sz w:val="28"/>
      <w:szCs w:val="24"/>
    </w:rPr>
  </w:style>
  <w:style w:type="paragraph" w:styleId="3">
    <w:name w:val="annotation text"/>
    <w:basedOn w:val="1"/>
    <w:link w:val="15"/>
    <w:unhideWhenUsed/>
    <w:qFormat/>
    <w:uiPriority w:val="0"/>
  </w:style>
  <w:style w:type="paragraph" w:styleId="4">
    <w:name w:val="Body Text"/>
    <w:basedOn w:val="1"/>
    <w:unhideWhenUsed/>
    <w:qFormat/>
    <w:uiPriority w:val="0"/>
  </w:style>
  <w:style w:type="paragraph" w:styleId="5">
    <w:name w:val="Balloon Text"/>
    <w:basedOn w:val="1"/>
    <w:link w:val="14"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13"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7">
    <w:name w:val="header"/>
    <w:basedOn w:val="1"/>
    <w:link w:val="1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annotation subject"/>
    <w:basedOn w:val="3"/>
    <w:next w:val="3"/>
    <w:link w:val="16"/>
    <w:semiHidden/>
    <w:unhideWhenUsed/>
    <w:qFormat/>
    <w:uiPriority w:val="99"/>
    <w:rPr>
      <w:b/>
      <w:bCs/>
    </w:rPr>
  </w:style>
  <w:style w:type="character" w:styleId="11">
    <w:name w:val="annotation reference"/>
    <w:basedOn w:val="10"/>
    <w:semiHidden/>
    <w:unhideWhenUsed/>
    <w:qFormat/>
    <w:uiPriority w:val="0"/>
    <w:rPr>
      <w:sz w:val="21"/>
      <w:szCs w:val="21"/>
    </w:rPr>
  </w:style>
  <w:style w:type="character" w:customStyle="1" w:styleId="12">
    <w:name w:val="页眉 字符"/>
    <w:basedOn w:val="10"/>
    <w:link w:val="7"/>
    <w:qFormat/>
    <w:uiPriority w:val="99"/>
    <w:rPr>
      <w:sz w:val="18"/>
      <w:szCs w:val="18"/>
    </w:rPr>
  </w:style>
  <w:style w:type="character" w:customStyle="1" w:styleId="13">
    <w:name w:val="页脚 字符"/>
    <w:basedOn w:val="10"/>
    <w:link w:val="6"/>
    <w:qFormat/>
    <w:uiPriority w:val="99"/>
    <w:rPr>
      <w:sz w:val="18"/>
      <w:szCs w:val="18"/>
    </w:rPr>
  </w:style>
  <w:style w:type="character" w:customStyle="1" w:styleId="14">
    <w:name w:val="批注框文本 字符"/>
    <w:basedOn w:val="10"/>
    <w:link w:val="5"/>
    <w:semiHidden/>
    <w:qFormat/>
    <w:uiPriority w:val="99"/>
    <w:rPr>
      <w:sz w:val="18"/>
      <w:szCs w:val="18"/>
    </w:rPr>
  </w:style>
  <w:style w:type="character" w:customStyle="1" w:styleId="15">
    <w:name w:val="批注文字 字符"/>
    <w:basedOn w:val="10"/>
    <w:link w:val="3"/>
    <w:qFormat/>
    <w:uiPriority w:val="0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16">
    <w:name w:val="批注主题 字符"/>
    <w:basedOn w:val="15"/>
    <w:link w:val="8"/>
    <w:semiHidden/>
    <w:qFormat/>
    <w:uiPriority w:val="99"/>
    <w:rPr>
      <w:rFonts w:asciiTheme="minorHAnsi" w:hAnsiTheme="minorHAnsi" w:eastAsiaTheme="minorEastAsia" w:cstheme="minorBidi"/>
      <w:b/>
      <w:bCs/>
      <w:kern w:val="2"/>
      <w:sz w:val="21"/>
      <w:szCs w:val="22"/>
    </w:rPr>
  </w:style>
  <w:style w:type="paragraph" w:styleId="17">
    <w:name w:val="List Paragraph"/>
    <w:basedOn w:val="1"/>
    <w:qFormat/>
    <w:uiPriority w:val="99"/>
    <w:pPr>
      <w:ind w:firstLine="420"/>
    </w:pPr>
  </w:style>
  <w:style w:type="paragraph" w:customStyle="1" w:styleId="18">
    <w:name w:val="修订1"/>
    <w:hidden/>
    <w:semiHidden/>
    <w:qFormat/>
    <w:uiPriority w:val="99"/>
    <w:pPr>
      <w:spacing w:after="160" w:line="278" w:lineRule="auto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actReview xmlns="http://schemas.wps.cn/vas-ai-hub/contract-review">
  <reviewItems>
    <reviewItem>
      <errorID>29a087ce-3031-4722-9dca-defdd04c92d2</errorID>
      <errorWord>水平</errorWord>
      <group>L1_Grammar</group>
      <groupName>语法问题</groupName>
      <ability>L2_Collocation</ability>
      <abilityName>搭配不当</abilityName>
      <candidateList>
        <item>成果</item>
      </candidateList>
      <explain>句子中可能存在主谓、动宾、定语中心语、状语中心语、补语中心语、关联词搭配不当等问题。</explain>
      <paraID>71B9C9A0</paraID>
      <start>65</start>
      <end>67</end>
      <status>ignored</status>
      <modifiedWord/>
      <trackRevisions>false</trackRevisions>
    </reviewItem>
    <reviewItem>
      <errorID>de1b6f1d-2bbb-49a4-9ecf-caf2c5e79378</errorID>
      <errorWord>截止</errorWord>
      <group>L1_Word</group>
      <groupName>字词问题</groupName>
      <ability>L2_Typo</ability>
      <abilityName>字词错误</abilityName>
      <candidateList>
        <item>截至</item>
      </candidateList>
      <explain>存在发音相同字词的误用。</explain>
      <paraID>49CF2885</paraID>
      <start>91</start>
      <end>93</end>
      <status>ignored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8b31aee9-4bdd-431f-aba9-07612bb1013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zhlx</Company>
  <Pages>16</Pages>
  <Words>5368</Words>
  <Characters>6118</Characters>
  <Lines>45</Lines>
  <Paragraphs>12</Paragraphs>
  <TotalTime>4</TotalTime>
  <ScaleCrop>false</ScaleCrop>
  <LinksUpToDate>false</LinksUpToDate>
  <CharactersWithSpaces>6121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2019-11-17T00:07:00Z</dcterms:created>
  <dc:creator>lqb</dc:creator>
  <cp:lastModifiedBy>七七</cp:lastModifiedBy>
  <cp:lastPrinted>2019-01-09T02:48:00Z</cp:lastPrinted>
  <dcterms:modified xsi:type="dcterms:W3CDTF">2026-02-25T08:56:18Z</dcterms:modified>
  <cp:revision>201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FEC9F29CE5C541F09C634EE10443F43F_13</vt:lpwstr>
  </property>
  <property fmtid="{D5CDD505-2E9C-101B-9397-08002B2CF9AE}" pid="4" name="KSOTemplateDocerSaveRecord">
    <vt:lpwstr>eyJoZGlkIjoiODUzOGRkZDZkOGMyYzA1ZWEzY2JmNzI3NWZmMjhkMjQiLCJ1c2VySWQiOiIyNjgyMjg5MDkifQ==</vt:lpwstr>
  </property>
</Properties>
</file>