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7C6D9C">
      <w:pPr>
        <w:pStyle w:val="44"/>
        <w:outlineLvl w:val="9"/>
        <w:rPr>
          <w:rFonts w:ascii="仿宋" w:hAnsi="仿宋" w:eastAsia="仿宋" w:cs="仿宋"/>
          <w:color w:val="auto"/>
          <w:sz w:val="72"/>
          <w:szCs w:val="72"/>
        </w:rPr>
      </w:pPr>
    </w:p>
    <w:p w14:paraId="5049F6B0">
      <w:pPr>
        <w:pStyle w:val="44"/>
        <w:outlineLvl w:val="9"/>
        <w:rPr>
          <w:rFonts w:ascii="仿宋" w:hAnsi="仿宋" w:eastAsia="仿宋" w:cs="仿宋"/>
          <w:color w:val="auto"/>
          <w:kern w:val="2"/>
          <w:sz w:val="52"/>
          <w:szCs w:val="52"/>
        </w:rPr>
      </w:pPr>
      <w:r>
        <w:rPr>
          <w:rFonts w:hint="eastAsia" w:ascii="仿宋" w:hAnsi="仿宋" w:eastAsia="仿宋" w:cs="仿宋"/>
          <w:color w:val="auto"/>
          <w:kern w:val="2"/>
          <w:sz w:val="52"/>
          <w:szCs w:val="52"/>
        </w:rPr>
        <w:t>云南师范大学附属世纪金源学校</w:t>
      </w:r>
    </w:p>
    <w:p w14:paraId="19E65BE2">
      <w:pPr>
        <w:pStyle w:val="44"/>
        <w:outlineLvl w:val="9"/>
        <w:rPr>
          <w:rFonts w:ascii="仿宋" w:hAnsi="仿宋" w:eastAsia="仿宋" w:cs="仿宋"/>
          <w:color w:val="auto"/>
        </w:rPr>
      </w:pPr>
      <w:r>
        <w:rPr>
          <w:rFonts w:hint="eastAsia" w:ascii="仿宋" w:hAnsi="仿宋" w:eastAsia="仿宋" w:cs="仿宋"/>
          <w:color w:val="auto"/>
          <w:kern w:val="2"/>
          <w:sz w:val="52"/>
          <w:szCs w:val="52"/>
          <w:lang w:val="en-US" w:eastAsia="zh-CN"/>
        </w:rPr>
        <w:t>标准化考试视频监考摄像头增补安装项目</w:t>
      </w:r>
    </w:p>
    <w:p w14:paraId="3FE51343">
      <w:pPr>
        <w:pStyle w:val="20"/>
        <w:spacing w:line="360" w:lineRule="auto"/>
        <w:jc w:val="both"/>
        <w:rPr>
          <w:rFonts w:ascii="仿宋" w:hAnsi="仿宋" w:eastAsia="仿宋" w:cs="仿宋"/>
          <w:b/>
          <w:bCs/>
          <w:color w:val="auto"/>
          <w:sz w:val="84"/>
          <w:szCs w:val="84"/>
        </w:rPr>
      </w:pPr>
      <w:r>
        <w:rPr>
          <w:rFonts w:hint="eastAsia" w:ascii="仿宋" w:hAnsi="仿宋" w:eastAsia="仿宋" w:cs="仿宋"/>
          <w:b/>
          <w:bCs/>
          <w:color w:val="auto"/>
          <w:sz w:val="84"/>
          <w:szCs w:val="84"/>
        </w:rPr>
        <w:t xml:space="preserve"> </w:t>
      </w:r>
    </w:p>
    <w:p w14:paraId="2D2BD2AD">
      <w:pPr>
        <w:rPr>
          <w:rFonts w:ascii="仿宋" w:hAnsi="仿宋" w:eastAsia="仿宋" w:cs="仿宋"/>
          <w:color w:val="auto"/>
        </w:rPr>
      </w:pPr>
    </w:p>
    <w:p w14:paraId="6DF085F8">
      <w:pPr>
        <w:rPr>
          <w:rFonts w:ascii="仿宋" w:hAnsi="仿宋" w:eastAsia="仿宋" w:cs="仿宋"/>
          <w:color w:val="auto"/>
        </w:rPr>
      </w:pPr>
    </w:p>
    <w:p w14:paraId="4C9B3E7D">
      <w:pPr>
        <w:rPr>
          <w:rFonts w:ascii="仿宋" w:hAnsi="仿宋" w:eastAsia="仿宋" w:cs="仿宋"/>
          <w:color w:val="auto"/>
        </w:rPr>
      </w:pPr>
    </w:p>
    <w:p w14:paraId="4D4DD50A">
      <w:pPr>
        <w:pStyle w:val="20"/>
        <w:spacing w:line="360" w:lineRule="auto"/>
        <w:jc w:val="center"/>
        <w:rPr>
          <w:rFonts w:ascii="仿宋" w:hAnsi="仿宋" w:eastAsia="仿宋" w:cs="仿宋"/>
          <w:color w:val="auto"/>
        </w:rPr>
      </w:pPr>
      <w:r>
        <w:rPr>
          <w:rFonts w:hint="eastAsia" w:ascii="仿宋" w:hAnsi="仿宋" w:eastAsia="仿宋" w:cs="仿宋"/>
          <w:b/>
          <w:bCs/>
          <w:color w:val="auto"/>
          <w:sz w:val="84"/>
          <w:szCs w:val="84"/>
        </w:rPr>
        <w:t>竞争性比选文件</w:t>
      </w:r>
    </w:p>
    <w:p w14:paraId="6CF279B7">
      <w:pPr>
        <w:pStyle w:val="20"/>
        <w:spacing w:line="36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 xml:space="preserve">   </w:t>
      </w:r>
    </w:p>
    <w:p w14:paraId="6F629F75">
      <w:pPr>
        <w:pStyle w:val="20"/>
        <w:spacing w:line="360" w:lineRule="auto"/>
        <w:rPr>
          <w:rFonts w:ascii="仿宋" w:hAnsi="仿宋" w:eastAsia="仿宋" w:cs="仿宋"/>
          <w:color w:val="auto"/>
        </w:rPr>
      </w:pPr>
    </w:p>
    <w:p w14:paraId="0F231019">
      <w:pPr>
        <w:pStyle w:val="20"/>
        <w:spacing w:line="360" w:lineRule="auto"/>
        <w:rPr>
          <w:rFonts w:ascii="仿宋" w:hAnsi="仿宋" w:eastAsia="仿宋" w:cs="仿宋"/>
          <w:color w:val="auto"/>
        </w:rPr>
      </w:pPr>
    </w:p>
    <w:p w14:paraId="71D7576C">
      <w:pPr>
        <w:pStyle w:val="20"/>
        <w:spacing w:line="360" w:lineRule="auto"/>
        <w:rPr>
          <w:rFonts w:ascii="仿宋" w:hAnsi="仿宋" w:eastAsia="仿宋" w:cs="仿宋"/>
          <w:b/>
          <w:bCs/>
          <w:color w:val="auto"/>
          <w:sz w:val="32"/>
        </w:rPr>
      </w:pPr>
    </w:p>
    <w:p w14:paraId="25BD10F3">
      <w:pPr>
        <w:rPr>
          <w:rFonts w:ascii="仿宋" w:hAnsi="仿宋" w:eastAsia="仿宋" w:cs="仿宋"/>
          <w:color w:val="auto"/>
        </w:rPr>
      </w:pPr>
    </w:p>
    <w:p w14:paraId="3FDF3B95">
      <w:pPr>
        <w:pStyle w:val="44"/>
        <w:outlineLvl w:val="9"/>
        <w:rPr>
          <w:rFonts w:ascii="仿宋" w:hAnsi="仿宋" w:eastAsia="仿宋" w:cs="仿宋"/>
          <w:color w:val="auto"/>
        </w:rPr>
      </w:pPr>
    </w:p>
    <w:p w14:paraId="0815BB2E">
      <w:pPr>
        <w:rPr>
          <w:rFonts w:ascii="仿宋" w:hAnsi="仿宋" w:eastAsia="仿宋" w:cs="仿宋"/>
          <w:color w:val="auto"/>
        </w:rPr>
      </w:pPr>
    </w:p>
    <w:p w14:paraId="3BC32EC7">
      <w:pPr>
        <w:rPr>
          <w:rFonts w:ascii="仿宋" w:hAnsi="仿宋" w:eastAsia="仿宋" w:cs="仿宋"/>
          <w:color w:val="auto"/>
        </w:rPr>
      </w:pPr>
    </w:p>
    <w:p w14:paraId="4B05C6C5">
      <w:pPr>
        <w:rPr>
          <w:rFonts w:ascii="仿宋" w:hAnsi="仿宋" w:eastAsia="仿宋" w:cs="仿宋"/>
          <w:color w:val="auto"/>
        </w:rPr>
      </w:pPr>
    </w:p>
    <w:p w14:paraId="0D271FF5">
      <w:pPr>
        <w:rPr>
          <w:rFonts w:ascii="仿宋" w:hAnsi="仿宋" w:eastAsia="仿宋" w:cs="仿宋"/>
          <w:color w:val="auto"/>
        </w:rPr>
      </w:pPr>
    </w:p>
    <w:p w14:paraId="4A9B07E7">
      <w:pPr>
        <w:rPr>
          <w:rFonts w:ascii="仿宋" w:hAnsi="仿宋" w:eastAsia="仿宋" w:cs="仿宋"/>
          <w:color w:val="auto"/>
        </w:rPr>
      </w:pPr>
    </w:p>
    <w:p w14:paraId="16F37DEC">
      <w:pPr>
        <w:pStyle w:val="20"/>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招标人：云南师范大学附属世纪金源学校</w:t>
      </w:r>
    </w:p>
    <w:p w14:paraId="3E120C29">
      <w:pPr>
        <w:pStyle w:val="20"/>
        <w:tabs>
          <w:tab w:val="center" w:pos="4821"/>
          <w:tab w:val="right" w:pos="9525"/>
        </w:tabs>
        <w:spacing w:line="720" w:lineRule="auto"/>
        <w:rPr>
          <w:rFonts w:ascii="仿宋" w:hAnsi="仿宋" w:eastAsia="仿宋" w:cs="仿宋"/>
          <w:b/>
          <w:bCs/>
          <w:color w:val="auto"/>
          <w:sz w:val="36"/>
          <w:szCs w:val="36"/>
        </w:rPr>
      </w:pPr>
      <w:r>
        <w:rPr>
          <w:rFonts w:hint="eastAsia" w:ascii="仿宋" w:hAnsi="仿宋" w:eastAsia="仿宋" w:cs="仿宋"/>
          <w:b/>
          <w:bCs/>
          <w:color w:val="auto"/>
          <w:sz w:val="36"/>
          <w:szCs w:val="36"/>
        </w:rPr>
        <w:tab/>
      </w:r>
    </w:p>
    <w:p w14:paraId="3EA10E59">
      <w:pPr>
        <w:pStyle w:val="20"/>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lang w:eastAsia="zh-CN"/>
        </w:rPr>
        <w:t>二〇二六</w:t>
      </w:r>
      <w:r>
        <w:rPr>
          <w:rFonts w:hint="eastAsia" w:ascii="仿宋" w:hAnsi="仿宋" w:eastAsia="仿宋" w:cs="仿宋"/>
          <w:b/>
          <w:bCs/>
          <w:color w:val="auto"/>
          <w:sz w:val="36"/>
          <w:szCs w:val="36"/>
        </w:rPr>
        <w:t>年</w:t>
      </w:r>
      <w:r>
        <w:rPr>
          <w:rFonts w:hint="eastAsia" w:ascii="仿宋" w:hAnsi="仿宋" w:eastAsia="仿宋" w:cs="仿宋"/>
          <w:b/>
          <w:bCs/>
          <w:color w:val="auto"/>
          <w:sz w:val="36"/>
          <w:szCs w:val="36"/>
          <w:lang w:val="en-US" w:eastAsia="zh-CN"/>
        </w:rPr>
        <w:t>五</w:t>
      </w:r>
      <w:r>
        <w:rPr>
          <w:rFonts w:hint="eastAsia" w:ascii="仿宋" w:hAnsi="仿宋" w:eastAsia="仿宋" w:cs="仿宋"/>
          <w:b/>
          <w:bCs/>
          <w:color w:val="auto"/>
          <w:sz w:val="36"/>
          <w:szCs w:val="36"/>
        </w:rPr>
        <w:t>月</w:t>
      </w:r>
    </w:p>
    <w:p w14:paraId="502EF2D5">
      <w:pPr>
        <w:pStyle w:val="7"/>
        <w:numPr>
          <w:ilvl w:val="0"/>
          <w:numId w:val="0"/>
        </w:numPr>
        <w:spacing w:line="400" w:lineRule="exact"/>
        <w:jc w:val="center"/>
        <w:rPr>
          <w:rFonts w:ascii="仿宋" w:hAnsi="仿宋" w:eastAsia="仿宋" w:cs="仿宋"/>
          <w:color w:val="auto"/>
          <w:sz w:val="32"/>
          <w:szCs w:val="21"/>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2511"/>
      <w:bookmarkStart w:id="1" w:name="_Toc23217"/>
      <w:bookmarkStart w:id="2" w:name="_Toc28249"/>
    </w:p>
    <w:bookmarkEnd w:id="0"/>
    <w:bookmarkEnd w:id="1"/>
    <w:bookmarkEnd w:id="2"/>
    <w:p w14:paraId="2CFE6551">
      <w:pPr>
        <w:pStyle w:val="7"/>
        <w:numPr>
          <w:ilvl w:val="0"/>
          <w:numId w:val="0"/>
        </w:numPr>
        <w:spacing w:line="600" w:lineRule="exact"/>
        <w:jc w:val="center"/>
        <w:rPr>
          <w:rFonts w:ascii="仿宋" w:hAnsi="仿宋" w:eastAsia="仿宋" w:cs="仿宋"/>
          <w:color w:val="auto"/>
          <w:sz w:val="52"/>
          <w:szCs w:val="32"/>
        </w:rPr>
      </w:pPr>
      <w:bookmarkStart w:id="3" w:name="_Toc23601"/>
      <w:bookmarkEnd w:id="3"/>
      <w:bookmarkStart w:id="4" w:name="_Toc21895"/>
      <w:bookmarkEnd w:id="4"/>
      <w:bookmarkStart w:id="5" w:name="_Toc21155"/>
      <w:bookmarkEnd w:id="5"/>
      <w:bookmarkStart w:id="6" w:name="_Toc17336"/>
      <w:bookmarkEnd w:id="6"/>
      <w:bookmarkStart w:id="7" w:name="_Toc24213"/>
      <w:bookmarkEnd w:id="7"/>
      <w:bookmarkStart w:id="8" w:name="_Toc8002"/>
      <w:bookmarkEnd w:id="8"/>
      <w:bookmarkStart w:id="9" w:name="_Toc23818"/>
      <w:bookmarkEnd w:id="9"/>
      <w:bookmarkStart w:id="10" w:name="_Toc16190"/>
      <w:bookmarkEnd w:id="10"/>
      <w:bookmarkStart w:id="11" w:name="_Toc15885"/>
      <w:bookmarkEnd w:id="11"/>
      <w:bookmarkStart w:id="12" w:name="_Toc14853"/>
      <w:bookmarkEnd w:id="12"/>
      <w:bookmarkStart w:id="13" w:name="_Toc18922"/>
      <w:bookmarkEnd w:id="13"/>
      <w:bookmarkStart w:id="14" w:name="_Toc10584"/>
      <w:bookmarkEnd w:id="14"/>
      <w:r>
        <w:rPr>
          <w:rFonts w:hint="eastAsia" w:ascii="仿宋" w:hAnsi="仿宋" w:eastAsia="仿宋" w:cs="仿宋"/>
          <w:color w:val="auto"/>
          <w:sz w:val="52"/>
          <w:szCs w:val="32"/>
        </w:rPr>
        <w:t>第一章  竞争性比选公告</w:t>
      </w:r>
    </w:p>
    <w:p w14:paraId="03C9B683">
      <w:pPr>
        <w:spacing w:line="500" w:lineRule="atLeast"/>
        <w:jc w:val="center"/>
        <w:rPr>
          <w:rFonts w:hint="eastAsia" w:asciiTheme="majorEastAsia" w:hAnsiTheme="majorEastAsia" w:eastAsiaTheme="majorEastAsia" w:cstheme="majorEastAsia"/>
          <w:b/>
          <w:bCs w:val="0"/>
          <w:color w:val="auto"/>
          <w:kern w:val="0"/>
          <w:sz w:val="40"/>
          <w:szCs w:val="40"/>
        </w:rPr>
      </w:pPr>
      <w:bookmarkStart w:id="15" w:name="_Toc282"/>
      <w:r>
        <w:rPr>
          <w:rFonts w:hint="eastAsia" w:ascii="仿宋" w:hAnsi="仿宋" w:eastAsia="仿宋" w:cs="仿宋"/>
          <w:b/>
          <w:color w:val="auto"/>
          <w:kern w:val="0"/>
          <w:sz w:val="36"/>
          <w:szCs w:val="36"/>
        </w:rPr>
        <w:t xml:space="preserve"> </w:t>
      </w:r>
      <w:r>
        <w:rPr>
          <w:rFonts w:hint="eastAsia" w:asciiTheme="majorEastAsia" w:hAnsiTheme="majorEastAsia" w:eastAsiaTheme="majorEastAsia" w:cstheme="majorEastAsia"/>
          <w:b/>
          <w:color w:val="auto"/>
          <w:kern w:val="0"/>
          <w:sz w:val="36"/>
          <w:szCs w:val="36"/>
        </w:rPr>
        <w:t xml:space="preserve"> </w:t>
      </w:r>
      <w:r>
        <w:rPr>
          <w:rFonts w:hint="eastAsia" w:asciiTheme="majorEastAsia" w:hAnsiTheme="majorEastAsia" w:eastAsiaTheme="majorEastAsia" w:cstheme="majorEastAsia"/>
          <w:b/>
          <w:bCs w:val="0"/>
          <w:color w:val="auto"/>
          <w:kern w:val="0"/>
          <w:sz w:val="40"/>
          <w:szCs w:val="40"/>
        </w:rPr>
        <w:t>云南师范大学附属世纪金源学校</w:t>
      </w:r>
    </w:p>
    <w:p w14:paraId="0BDF22AC">
      <w:pPr>
        <w:spacing w:line="500" w:lineRule="atLeast"/>
        <w:jc w:val="center"/>
        <w:rPr>
          <w:rFonts w:hint="eastAsia" w:asciiTheme="majorEastAsia" w:hAnsiTheme="majorEastAsia" w:eastAsiaTheme="majorEastAsia" w:cstheme="majorEastAsia"/>
          <w:b/>
          <w:bCs w:val="0"/>
          <w:color w:val="auto"/>
          <w:sz w:val="40"/>
          <w:szCs w:val="40"/>
          <w:lang w:val="en-US" w:eastAsia="zh-CN"/>
        </w:rPr>
      </w:pPr>
      <w:r>
        <w:rPr>
          <w:rFonts w:hint="eastAsia" w:asciiTheme="majorEastAsia" w:hAnsiTheme="majorEastAsia" w:eastAsiaTheme="majorEastAsia" w:cstheme="majorEastAsia"/>
          <w:b/>
          <w:bCs w:val="0"/>
          <w:color w:val="auto"/>
          <w:sz w:val="40"/>
          <w:szCs w:val="40"/>
          <w:lang w:val="en-US" w:eastAsia="zh-CN"/>
        </w:rPr>
        <w:t xml:space="preserve">标准化考试视频监考摄像头增补安装项目                              </w:t>
      </w:r>
    </w:p>
    <w:p w14:paraId="6C444CE6">
      <w:pPr>
        <w:spacing w:line="500" w:lineRule="atLeast"/>
        <w:jc w:val="center"/>
        <w:rPr>
          <w:rFonts w:hint="eastAsia" w:asciiTheme="majorEastAsia" w:hAnsiTheme="majorEastAsia" w:eastAsiaTheme="majorEastAsia" w:cstheme="majorEastAsia"/>
          <w:b/>
          <w:bCs w:val="0"/>
          <w:color w:val="auto"/>
          <w:kern w:val="0"/>
          <w:sz w:val="40"/>
          <w:szCs w:val="40"/>
        </w:rPr>
      </w:pPr>
      <w:r>
        <w:rPr>
          <w:rFonts w:hint="eastAsia" w:asciiTheme="majorEastAsia" w:hAnsiTheme="majorEastAsia" w:eastAsiaTheme="majorEastAsia" w:cstheme="majorEastAsia"/>
          <w:b/>
          <w:bCs w:val="0"/>
          <w:color w:val="auto"/>
          <w:kern w:val="0"/>
          <w:sz w:val="40"/>
          <w:szCs w:val="40"/>
        </w:rPr>
        <w:t>竞争性比选公告</w:t>
      </w:r>
    </w:p>
    <w:p w14:paraId="460E3EBC">
      <w:pPr>
        <w:pStyle w:val="2"/>
      </w:pPr>
    </w:p>
    <w:p w14:paraId="3D19CD25">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rPr>
        <w:t>项目概况</w:t>
      </w:r>
    </w:p>
    <w:p w14:paraId="2B78E020">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u w:val="single"/>
        </w:rPr>
        <w:t>云南师范大学附属世纪金源学校</w:t>
      </w:r>
      <w:r>
        <w:rPr>
          <w:rFonts w:hint="eastAsia" w:ascii="仿宋" w:hAnsi="仿宋" w:eastAsia="仿宋" w:cs="仿宋"/>
          <w:color w:val="auto"/>
          <w:sz w:val="22"/>
          <w:szCs w:val="22"/>
          <w:u w:val="single"/>
          <w:lang w:eastAsia="zh-CN"/>
        </w:rPr>
        <w:t>标准化考试视频监考摄像头增补安装项目</w:t>
      </w:r>
      <w:r>
        <w:rPr>
          <w:rFonts w:hint="eastAsia" w:ascii="仿宋" w:hAnsi="仿宋" w:eastAsia="仿宋" w:cs="仿宋"/>
          <w:color w:val="auto"/>
          <w:sz w:val="22"/>
          <w:szCs w:val="22"/>
        </w:rPr>
        <w:t>的潜在投标人应在</w:t>
      </w:r>
      <w:r>
        <w:rPr>
          <w:rFonts w:hint="eastAsia" w:ascii="仿宋" w:hAnsi="仿宋" w:eastAsia="仿宋" w:cs="仿宋"/>
          <w:color w:val="auto"/>
          <w:sz w:val="22"/>
          <w:szCs w:val="22"/>
          <w:u w:val="single"/>
        </w:rPr>
        <w:t>云南师范大学附属世纪金源学校（昆明市广福路3678号）</w:t>
      </w:r>
      <w:r>
        <w:rPr>
          <w:rFonts w:hint="eastAsia" w:ascii="仿宋" w:hAnsi="仿宋" w:eastAsia="仿宋" w:cs="仿宋"/>
          <w:color w:val="auto"/>
          <w:sz w:val="22"/>
          <w:szCs w:val="22"/>
        </w:rPr>
        <w:t>网上获取比选文件，并于</w:t>
      </w:r>
      <w:r>
        <w:rPr>
          <w:rFonts w:hint="eastAsia" w:ascii="仿宋" w:hAnsi="仿宋" w:eastAsia="仿宋" w:cs="仿宋"/>
          <w:color w:val="auto"/>
          <w:sz w:val="22"/>
          <w:szCs w:val="22"/>
          <w:u w:val="single"/>
        </w:rPr>
        <w:t>202</w:t>
      </w:r>
      <w:r>
        <w:rPr>
          <w:rFonts w:hint="eastAsia" w:ascii="仿宋" w:hAnsi="仿宋" w:eastAsia="仿宋" w:cs="仿宋"/>
          <w:color w:val="auto"/>
          <w:sz w:val="22"/>
          <w:szCs w:val="22"/>
          <w:u w:val="single"/>
          <w:lang w:val="en-US" w:eastAsia="zh-CN"/>
        </w:rPr>
        <w:t>6</w:t>
      </w:r>
      <w:r>
        <w:rPr>
          <w:rFonts w:hint="eastAsia" w:ascii="仿宋" w:hAnsi="仿宋" w:eastAsia="仿宋" w:cs="仿宋"/>
          <w:color w:val="auto"/>
          <w:sz w:val="22"/>
          <w:szCs w:val="22"/>
          <w:u w:val="single"/>
        </w:rPr>
        <w:t>年</w:t>
      </w:r>
      <w:r>
        <w:rPr>
          <w:rFonts w:hint="eastAsia" w:ascii="仿宋" w:hAnsi="仿宋" w:eastAsia="仿宋" w:cs="仿宋"/>
          <w:color w:val="auto"/>
          <w:sz w:val="22"/>
          <w:szCs w:val="22"/>
          <w:u w:val="single"/>
          <w:lang w:val="en-US" w:eastAsia="zh-CN"/>
        </w:rPr>
        <w:t>5</w:t>
      </w:r>
      <w:r>
        <w:rPr>
          <w:rFonts w:hint="eastAsia" w:ascii="仿宋" w:hAnsi="仿宋" w:eastAsia="仿宋" w:cs="仿宋"/>
          <w:color w:val="auto"/>
          <w:sz w:val="22"/>
          <w:szCs w:val="22"/>
          <w:u w:val="single"/>
        </w:rPr>
        <w:t>月</w:t>
      </w:r>
      <w:r>
        <w:rPr>
          <w:rFonts w:hint="eastAsia" w:ascii="仿宋" w:hAnsi="仿宋" w:eastAsia="仿宋" w:cs="仿宋"/>
          <w:color w:val="auto"/>
          <w:sz w:val="22"/>
          <w:szCs w:val="22"/>
          <w:u w:val="single"/>
          <w:lang w:val="en-US" w:eastAsia="zh-CN"/>
        </w:rPr>
        <w:t>21</w:t>
      </w:r>
      <w:r>
        <w:rPr>
          <w:rFonts w:hint="eastAsia" w:ascii="仿宋" w:hAnsi="仿宋" w:eastAsia="仿宋" w:cs="仿宋"/>
          <w:color w:val="auto"/>
          <w:sz w:val="22"/>
          <w:szCs w:val="22"/>
          <w:u w:val="single"/>
        </w:rPr>
        <w:t>日</w:t>
      </w:r>
      <w:r>
        <w:rPr>
          <w:rFonts w:hint="eastAsia" w:ascii="仿宋" w:hAnsi="仿宋" w:eastAsia="仿宋" w:cs="仿宋"/>
          <w:color w:val="auto"/>
          <w:sz w:val="22"/>
          <w:szCs w:val="22"/>
          <w:u w:val="single"/>
          <w:lang w:val="en-US" w:eastAsia="zh-CN"/>
        </w:rPr>
        <w:t>09</w:t>
      </w:r>
      <w:r>
        <w:rPr>
          <w:rFonts w:hint="eastAsia" w:ascii="仿宋" w:hAnsi="仿宋" w:eastAsia="仿宋" w:cs="仿宋"/>
          <w:color w:val="auto"/>
          <w:sz w:val="22"/>
          <w:szCs w:val="22"/>
          <w:u w:val="single"/>
        </w:rPr>
        <w:t>点</w:t>
      </w:r>
      <w:r>
        <w:rPr>
          <w:rFonts w:hint="eastAsia" w:ascii="仿宋" w:hAnsi="仿宋" w:eastAsia="仿宋" w:cs="仿宋"/>
          <w:color w:val="auto"/>
          <w:sz w:val="22"/>
          <w:szCs w:val="22"/>
          <w:u w:val="single"/>
          <w:lang w:val="en-US" w:eastAsia="zh-CN"/>
        </w:rPr>
        <w:t>00</w:t>
      </w:r>
      <w:r>
        <w:rPr>
          <w:rFonts w:hint="eastAsia" w:ascii="仿宋" w:hAnsi="仿宋" w:eastAsia="仿宋" w:cs="仿宋"/>
          <w:color w:val="auto"/>
          <w:sz w:val="22"/>
          <w:szCs w:val="22"/>
          <w:u w:val="single"/>
        </w:rPr>
        <w:t>分</w:t>
      </w:r>
      <w:r>
        <w:rPr>
          <w:rFonts w:hint="eastAsia" w:ascii="仿宋" w:hAnsi="仿宋" w:eastAsia="仿宋" w:cs="仿宋"/>
          <w:bCs/>
          <w:color w:val="auto"/>
          <w:sz w:val="22"/>
          <w:szCs w:val="22"/>
        </w:rPr>
        <w:t>（北京时间）前提交响应文件</w:t>
      </w:r>
      <w:r>
        <w:rPr>
          <w:rFonts w:hint="eastAsia" w:ascii="仿宋" w:hAnsi="仿宋" w:eastAsia="仿宋" w:cs="仿宋"/>
          <w:color w:val="auto"/>
          <w:sz w:val="22"/>
          <w:szCs w:val="22"/>
        </w:rPr>
        <w:t>。</w:t>
      </w:r>
    </w:p>
    <w:p w14:paraId="3831C321">
      <w:pPr>
        <w:keepNext/>
        <w:keepLines/>
        <w:pageBreakBefore w:val="0"/>
        <w:kinsoku/>
        <w:overflowPunct/>
        <w:topLinePunct w:val="0"/>
        <w:bidi w:val="0"/>
        <w:spacing w:line="360" w:lineRule="auto"/>
        <w:ind w:firstLine="482" w:firstLineChars="200"/>
        <w:outlineLvl w:val="1"/>
        <w:rPr>
          <w:rFonts w:hint="eastAsia" w:ascii="仿宋" w:hAnsi="仿宋" w:eastAsia="仿宋" w:cs="仿宋"/>
          <w:b/>
          <w:color w:val="auto"/>
          <w:sz w:val="24"/>
          <w:highlight w:val="none"/>
        </w:rPr>
      </w:pPr>
      <w:bookmarkStart w:id="16" w:name="_Toc21103"/>
      <w:bookmarkEnd w:id="16"/>
      <w:bookmarkStart w:id="17" w:name="_Toc17967"/>
    </w:p>
    <w:p w14:paraId="1CC67935">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一、竞争性比选条件</w:t>
      </w:r>
    </w:p>
    <w:p w14:paraId="07DE2D41">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本项目为</w:t>
      </w:r>
      <w:r>
        <w:rPr>
          <w:rFonts w:hint="eastAsia" w:ascii="仿宋" w:hAnsi="仿宋" w:eastAsia="仿宋" w:cs="仿宋"/>
          <w:sz w:val="32"/>
          <w:szCs w:val="32"/>
        </w:rPr>
        <w:t>云南师范大学附属世纪金源学校</w:t>
      </w:r>
      <w:r>
        <w:rPr>
          <w:rFonts w:hint="eastAsia" w:ascii="仿宋" w:hAnsi="仿宋" w:eastAsia="仿宋" w:cs="仿宋"/>
          <w:sz w:val="32"/>
          <w:szCs w:val="32"/>
          <w:lang w:eastAsia="zh-CN"/>
        </w:rPr>
        <w:t>标准化考试视频监考摄像头增补安装</w:t>
      </w:r>
      <w:r>
        <w:rPr>
          <w:rFonts w:hint="eastAsia" w:ascii="仿宋" w:hAnsi="仿宋" w:eastAsia="仿宋" w:cs="仿宋"/>
          <w:sz w:val="32"/>
          <w:szCs w:val="32"/>
        </w:rPr>
        <w:t>项目，采购人为云南师范大学附属世纪金源学校，该项目已具备相关条件，参照《中华人民共和国政府采购法》《中华人民共和国政府采购法实施条例》《政府采购货物和服务招标投标管理办法》（财政部令第74号）等有关法律法规和规章的规定，现通过</w:t>
      </w:r>
      <w:r>
        <w:rPr>
          <w:rFonts w:hint="eastAsia" w:ascii="仿宋" w:hAnsi="仿宋" w:eastAsia="仿宋" w:cs="仿宋"/>
          <w:sz w:val="32"/>
          <w:szCs w:val="32"/>
          <w:lang w:val="en-US" w:eastAsia="zh-CN"/>
        </w:rPr>
        <w:t>竞争性</w:t>
      </w:r>
      <w:r>
        <w:rPr>
          <w:rFonts w:hint="eastAsia" w:ascii="仿宋" w:hAnsi="仿宋" w:eastAsia="仿宋" w:cs="仿宋"/>
          <w:sz w:val="32"/>
          <w:szCs w:val="32"/>
        </w:rPr>
        <w:t>比选方式公开选择1家供应商单位。</w:t>
      </w:r>
    </w:p>
    <w:p w14:paraId="73BEEE36">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w:t>
      </w:r>
      <w:r>
        <w:rPr>
          <w:rFonts w:hint="eastAsia" w:ascii="黑体" w:hAnsi="黑体" w:eastAsia="黑体" w:cs="黑体"/>
          <w:sz w:val="32"/>
          <w:szCs w:val="32"/>
        </w:rPr>
        <w:t>、项目</w:t>
      </w:r>
      <w:bookmarkEnd w:id="17"/>
      <w:r>
        <w:rPr>
          <w:rFonts w:hint="eastAsia" w:ascii="黑体" w:hAnsi="黑体" w:eastAsia="黑体" w:cs="黑体"/>
          <w:sz w:val="32"/>
          <w:szCs w:val="32"/>
          <w:lang w:val="en-US" w:eastAsia="zh-CN"/>
        </w:rPr>
        <w:t>概况</w:t>
      </w:r>
    </w:p>
    <w:p w14:paraId="6F3D9EC8">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.项目名称：</w:t>
      </w:r>
      <w:r>
        <w:rPr>
          <w:rFonts w:hint="eastAsia" w:ascii="仿宋" w:hAnsi="仿宋" w:eastAsia="仿宋" w:cs="仿宋"/>
          <w:sz w:val="32"/>
          <w:szCs w:val="32"/>
          <w:lang w:eastAsia="zh-CN"/>
        </w:rPr>
        <w:t>云南师范大学附属世纪金源学校标准化考试视频监考摄像头增补安装项目</w:t>
      </w:r>
    </w:p>
    <w:p w14:paraId="68D8FC1A">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2.项目地点：</w:t>
      </w:r>
      <w:r>
        <w:rPr>
          <w:rFonts w:hint="eastAsia" w:ascii="仿宋" w:hAnsi="仿宋" w:eastAsia="仿宋" w:cs="仿宋"/>
          <w:sz w:val="32"/>
          <w:szCs w:val="32"/>
          <w:lang w:eastAsia="zh-CN"/>
        </w:rPr>
        <w:t>云南师范大学附属世纪金源学校；</w:t>
      </w:r>
    </w:p>
    <w:p w14:paraId="519E6BBB">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.预算金额：</w:t>
      </w:r>
      <w:r>
        <w:rPr>
          <w:rFonts w:hint="eastAsia" w:ascii="仿宋" w:hAnsi="仿宋" w:eastAsia="仿宋" w:cs="仿宋"/>
          <w:sz w:val="32"/>
          <w:szCs w:val="32"/>
          <w:lang w:val="en-US" w:eastAsia="zh-CN"/>
        </w:rPr>
        <w:t>陆万捌仟肆佰捌拾捌元整</w:t>
      </w:r>
      <w:r>
        <w:rPr>
          <w:rFonts w:hint="eastAsia" w:ascii="仿宋" w:hAnsi="仿宋" w:eastAsia="仿宋" w:cs="仿宋"/>
          <w:sz w:val="32"/>
          <w:szCs w:val="32"/>
          <w:lang w:eastAsia="zh-CN"/>
        </w:rPr>
        <w:t>（¥68488.00元）</w:t>
      </w:r>
    </w:p>
    <w:p w14:paraId="32FAC440">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.最高限价：</w:t>
      </w:r>
      <w:r>
        <w:rPr>
          <w:rFonts w:hint="eastAsia" w:ascii="仿宋" w:hAnsi="仿宋" w:eastAsia="仿宋" w:cs="仿宋"/>
          <w:sz w:val="32"/>
          <w:szCs w:val="32"/>
          <w:lang w:eastAsia="zh-CN"/>
        </w:rPr>
        <w:t>陆万捌仟肆佰捌拾捌元整（¥68488.00元）</w:t>
      </w:r>
    </w:p>
    <w:p w14:paraId="0E66006B">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.采购需求：标考红外高清半球摄像机</w:t>
      </w:r>
      <w:r>
        <w:rPr>
          <w:rFonts w:hint="eastAsia" w:ascii="仿宋" w:hAnsi="仿宋" w:eastAsia="仿宋" w:cs="仿宋"/>
          <w:sz w:val="32"/>
          <w:szCs w:val="32"/>
          <w:lang w:val="en-US" w:eastAsia="zh-CN"/>
        </w:rPr>
        <w:t>（含拾音器及配套软件）2套</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交换机1台、</w:t>
      </w:r>
      <w:r>
        <w:rPr>
          <w:rFonts w:hint="eastAsia" w:ascii="仿宋" w:hAnsi="仿宋" w:eastAsia="仿宋" w:cs="仿宋"/>
          <w:sz w:val="32"/>
          <w:szCs w:val="32"/>
        </w:rPr>
        <w:t>标考网络流媒体存储平台（16路）</w:t>
      </w:r>
      <w:r>
        <w:rPr>
          <w:rFonts w:hint="eastAsia" w:ascii="仿宋" w:hAnsi="仿宋" w:eastAsia="仿宋" w:cs="仿宋"/>
          <w:sz w:val="32"/>
          <w:szCs w:val="32"/>
          <w:lang w:val="en-US" w:eastAsia="zh-CN"/>
        </w:rPr>
        <w:t>1套、CD/MP3播放器2台、DVD播放器10台</w:t>
      </w:r>
      <w:r>
        <w:rPr>
          <w:rFonts w:hint="eastAsia" w:ascii="仿宋" w:hAnsi="仿宋" w:eastAsia="仿宋" w:cs="仿宋"/>
          <w:sz w:val="32"/>
          <w:szCs w:val="32"/>
        </w:rPr>
        <w:t>，具体要求如下：</w:t>
      </w:r>
    </w:p>
    <w:tbl>
      <w:tblPr>
        <w:tblStyle w:val="38"/>
        <w:tblpPr w:leftFromText="180" w:rightFromText="180" w:vertAnchor="text" w:horzAnchor="page" w:tblpX="1667" w:tblpY="34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5"/>
        <w:gridCol w:w="1753"/>
        <w:gridCol w:w="7029"/>
        <w:gridCol w:w="484"/>
      </w:tblGrid>
      <w:tr w14:paraId="70ABC7FB">
        <w:tc>
          <w:tcPr>
            <w:tcW w:w="0" w:type="auto"/>
          </w:tcPr>
          <w:p w14:paraId="2916FAC1">
            <w:pPr>
              <w:pStyle w:val="35"/>
              <w:keepNext w:val="0"/>
              <w:keepLines w:val="0"/>
              <w:widowControl/>
              <w:numPr>
                <w:ilvl w:val="0"/>
                <w:numId w:val="0"/>
              </w:numPr>
              <w:suppressLineNumbers w:val="0"/>
              <w:ind w:right="0" w:rightChars="0"/>
              <w:jc w:val="center"/>
              <w:rPr>
                <w:rFonts w:hint="eastAsia" w:ascii="仿宋" w:hAnsi="仿宋" w:eastAsia="仿宋" w:cs="仿宋"/>
                <w:i w:val="0"/>
                <w:iCs w:val="0"/>
                <w:caps w:val="0"/>
                <w:color w:val="292929"/>
                <w:spacing w:val="0"/>
                <w:sz w:val="21"/>
                <w:szCs w:val="21"/>
                <w:vertAlign w:val="baseline"/>
                <w:lang w:val="en-US" w:eastAsia="zh-CN"/>
              </w:rPr>
            </w:pPr>
            <w:r>
              <w:rPr>
                <w:rFonts w:hint="eastAsia" w:ascii="仿宋" w:hAnsi="仿宋" w:eastAsia="仿宋" w:cs="仿宋"/>
                <w:i w:val="0"/>
                <w:iCs w:val="0"/>
                <w:caps w:val="0"/>
                <w:color w:val="292929"/>
                <w:spacing w:val="0"/>
                <w:sz w:val="21"/>
                <w:szCs w:val="21"/>
                <w:vertAlign w:val="baseline"/>
                <w:lang w:val="en-US" w:eastAsia="zh-CN"/>
              </w:rPr>
              <w:t>序号</w:t>
            </w:r>
          </w:p>
        </w:tc>
        <w:tc>
          <w:tcPr>
            <w:tcW w:w="0" w:type="auto"/>
          </w:tcPr>
          <w:p w14:paraId="7F72BCF6">
            <w:pPr>
              <w:pStyle w:val="35"/>
              <w:keepNext w:val="0"/>
              <w:keepLines w:val="0"/>
              <w:widowControl/>
              <w:numPr>
                <w:ilvl w:val="0"/>
                <w:numId w:val="0"/>
              </w:numPr>
              <w:suppressLineNumbers w:val="0"/>
              <w:ind w:right="0" w:rightChars="0"/>
              <w:jc w:val="center"/>
              <w:rPr>
                <w:rFonts w:hint="eastAsia" w:ascii="仿宋" w:hAnsi="仿宋" w:eastAsia="仿宋" w:cs="仿宋"/>
                <w:i w:val="0"/>
                <w:iCs w:val="0"/>
                <w:caps w:val="0"/>
                <w:color w:val="292929"/>
                <w:spacing w:val="0"/>
                <w:sz w:val="21"/>
                <w:szCs w:val="21"/>
                <w:vertAlign w:val="baseline"/>
                <w:lang w:val="en-US" w:eastAsia="zh-CN"/>
              </w:rPr>
            </w:pPr>
            <w:r>
              <w:rPr>
                <w:rFonts w:hint="eastAsia" w:ascii="仿宋" w:hAnsi="仿宋" w:eastAsia="仿宋" w:cs="仿宋"/>
                <w:i w:val="0"/>
                <w:iCs w:val="0"/>
                <w:caps w:val="0"/>
                <w:color w:val="292929"/>
                <w:spacing w:val="0"/>
                <w:sz w:val="21"/>
                <w:szCs w:val="21"/>
                <w:vertAlign w:val="baseline"/>
                <w:lang w:val="en-US" w:eastAsia="zh-CN"/>
              </w:rPr>
              <w:t>名称</w:t>
            </w:r>
          </w:p>
        </w:tc>
        <w:tc>
          <w:tcPr>
            <w:tcW w:w="0" w:type="auto"/>
          </w:tcPr>
          <w:p w14:paraId="3AFAF941">
            <w:pPr>
              <w:pStyle w:val="35"/>
              <w:keepNext w:val="0"/>
              <w:keepLines w:val="0"/>
              <w:widowControl/>
              <w:numPr>
                <w:ilvl w:val="0"/>
                <w:numId w:val="0"/>
              </w:numPr>
              <w:suppressLineNumbers w:val="0"/>
              <w:ind w:right="0" w:rightChars="0"/>
              <w:jc w:val="center"/>
              <w:rPr>
                <w:rFonts w:hint="default" w:ascii="仿宋" w:hAnsi="仿宋" w:eastAsia="仿宋" w:cs="仿宋"/>
                <w:i w:val="0"/>
                <w:iCs w:val="0"/>
                <w:caps w:val="0"/>
                <w:color w:val="292929"/>
                <w:spacing w:val="0"/>
                <w:sz w:val="21"/>
                <w:szCs w:val="21"/>
                <w:vertAlign w:val="baseline"/>
                <w:lang w:val="en-US" w:eastAsia="zh-CN"/>
              </w:rPr>
            </w:pPr>
            <w:r>
              <w:rPr>
                <w:rFonts w:hint="eastAsia" w:ascii="仿宋" w:hAnsi="仿宋" w:eastAsia="仿宋" w:cs="仿宋"/>
                <w:i w:val="0"/>
                <w:iCs w:val="0"/>
                <w:caps w:val="0"/>
                <w:color w:val="292929"/>
                <w:spacing w:val="0"/>
                <w:sz w:val="21"/>
                <w:szCs w:val="21"/>
                <w:vertAlign w:val="baseline"/>
                <w:lang w:val="en-US" w:eastAsia="zh-CN"/>
              </w:rPr>
              <w:t>技术要求</w:t>
            </w:r>
          </w:p>
        </w:tc>
        <w:tc>
          <w:tcPr>
            <w:tcW w:w="0" w:type="auto"/>
          </w:tcPr>
          <w:p w14:paraId="6845D873">
            <w:pPr>
              <w:pStyle w:val="35"/>
              <w:keepNext w:val="0"/>
              <w:keepLines w:val="0"/>
              <w:widowControl/>
              <w:numPr>
                <w:ilvl w:val="0"/>
                <w:numId w:val="0"/>
              </w:numPr>
              <w:suppressLineNumbers w:val="0"/>
              <w:ind w:right="0" w:rightChars="0"/>
              <w:jc w:val="center"/>
              <w:rPr>
                <w:rFonts w:hint="eastAsia" w:ascii="仿宋" w:hAnsi="仿宋" w:eastAsia="仿宋" w:cs="仿宋"/>
                <w:i w:val="0"/>
                <w:iCs w:val="0"/>
                <w:caps w:val="0"/>
                <w:color w:val="292929"/>
                <w:spacing w:val="0"/>
                <w:sz w:val="21"/>
                <w:szCs w:val="21"/>
                <w:vertAlign w:val="baseline"/>
                <w:lang w:val="en-US" w:eastAsia="zh-CN"/>
              </w:rPr>
            </w:pPr>
            <w:r>
              <w:rPr>
                <w:rFonts w:hint="eastAsia" w:ascii="仿宋" w:hAnsi="仿宋" w:eastAsia="仿宋" w:cs="仿宋"/>
                <w:i w:val="0"/>
                <w:iCs w:val="0"/>
                <w:caps w:val="0"/>
                <w:color w:val="292929"/>
                <w:spacing w:val="0"/>
                <w:sz w:val="21"/>
                <w:szCs w:val="21"/>
                <w:vertAlign w:val="baseline"/>
                <w:lang w:val="en-US" w:eastAsia="zh-CN"/>
              </w:rPr>
              <w:t>数量</w:t>
            </w:r>
          </w:p>
        </w:tc>
      </w:tr>
      <w:tr w14:paraId="18D2DD37">
        <w:tc>
          <w:tcPr>
            <w:tcW w:w="0" w:type="auto"/>
          </w:tcPr>
          <w:p w14:paraId="753B1BB2">
            <w:pPr>
              <w:pStyle w:val="35"/>
              <w:keepNext w:val="0"/>
              <w:keepLines w:val="0"/>
              <w:widowControl/>
              <w:numPr>
                <w:ilvl w:val="0"/>
                <w:numId w:val="0"/>
              </w:numPr>
              <w:suppressLineNumbers w:val="0"/>
              <w:ind w:right="0" w:rightChars="0"/>
              <w:jc w:val="center"/>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w:t>
            </w:r>
          </w:p>
        </w:tc>
        <w:tc>
          <w:tcPr>
            <w:tcW w:w="0" w:type="auto"/>
          </w:tcPr>
          <w:p w14:paraId="42C16AA6">
            <w:pPr>
              <w:pStyle w:val="35"/>
              <w:keepNext w:val="0"/>
              <w:keepLines w:val="0"/>
              <w:widowControl/>
              <w:numPr>
                <w:ilvl w:val="0"/>
                <w:numId w:val="0"/>
              </w:numPr>
              <w:suppressLineNumbers w:val="0"/>
              <w:ind w:right="0" w:rightChars="0"/>
              <w:jc w:val="left"/>
              <w:rPr>
                <w:rFonts w:hint="default" w:ascii="Helvetica" w:hAnsi="Helvetica" w:eastAsia="Helvetica" w:cs="Helvetica"/>
                <w:i w:val="0"/>
                <w:iCs w:val="0"/>
                <w:caps w:val="0"/>
                <w:color w:val="292929"/>
                <w:spacing w:val="0"/>
                <w:sz w:val="19"/>
                <w:szCs w:val="19"/>
                <w:vertAlign w:val="baseline"/>
              </w:rPr>
            </w:pPr>
            <w:r>
              <w:rPr>
                <w:rFonts w:hint="eastAsia" w:ascii="Helvetica" w:hAnsi="Helvetica" w:eastAsia="宋体" w:cs="Helvetica"/>
                <w:i w:val="0"/>
                <w:iCs w:val="0"/>
                <w:caps w:val="0"/>
                <w:color w:val="292929"/>
                <w:spacing w:val="0"/>
                <w:sz w:val="19"/>
                <w:szCs w:val="19"/>
                <w:lang w:val="en-US" w:eastAsia="zh-CN"/>
              </w:rPr>
              <w:t>标考红外高清半球摄像机（含拾音器及配套软件）</w:t>
            </w:r>
          </w:p>
        </w:tc>
        <w:tc>
          <w:tcPr>
            <w:tcW w:w="0" w:type="auto"/>
            <w:vAlign w:val="top"/>
          </w:tcPr>
          <w:p w14:paraId="6FC7B5C4">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介于考试系统的特殊性，根据国家教育考试规范要求；所提供产品必须符合《国家教育考试网上巡查系统视频标准技术规范（2017版）》相关技术规范；</w:t>
            </w:r>
          </w:p>
          <w:p w14:paraId="71FCB4D3">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性能满足但不限于：采用高性能≥400万1/3英寸CMOS图像传感器，低照度效果好，图像清晰度高；</w:t>
            </w:r>
          </w:p>
          <w:p w14:paraId="10012497">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Helvetica" w:hAnsi="Helvetica"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配备拾音器</w:t>
            </w:r>
          </w:p>
          <w:p w14:paraId="40D2DFC1">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包含授权等软件</w:t>
            </w:r>
          </w:p>
        </w:tc>
        <w:tc>
          <w:tcPr>
            <w:tcW w:w="0" w:type="auto"/>
          </w:tcPr>
          <w:p w14:paraId="14AECA00">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2套</w:t>
            </w:r>
          </w:p>
        </w:tc>
      </w:tr>
      <w:tr w14:paraId="237FCC74">
        <w:tc>
          <w:tcPr>
            <w:tcW w:w="0" w:type="auto"/>
          </w:tcPr>
          <w:p w14:paraId="1E50A579">
            <w:pPr>
              <w:pStyle w:val="35"/>
              <w:keepNext w:val="0"/>
              <w:keepLines w:val="0"/>
              <w:widowControl/>
              <w:numPr>
                <w:ilvl w:val="0"/>
                <w:numId w:val="0"/>
              </w:numPr>
              <w:suppressLineNumbers w:val="0"/>
              <w:ind w:right="0" w:rightChars="0"/>
              <w:jc w:val="center"/>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2</w:t>
            </w:r>
          </w:p>
        </w:tc>
        <w:tc>
          <w:tcPr>
            <w:tcW w:w="0" w:type="auto"/>
          </w:tcPr>
          <w:p w14:paraId="407EDDFF">
            <w:pPr>
              <w:pStyle w:val="35"/>
              <w:keepNext w:val="0"/>
              <w:keepLines w:val="0"/>
              <w:widowControl/>
              <w:numPr>
                <w:ilvl w:val="0"/>
                <w:numId w:val="0"/>
              </w:numPr>
              <w:suppressLineNumbers w:val="0"/>
              <w:ind w:right="0" w:rightChars="0"/>
              <w:jc w:val="left"/>
              <w:rPr>
                <w:rFonts w:hint="default" w:ascii="Helvetica" w:hAnsi="Helvetica" w:eastAsia="Helvetica" w:cs="Helvetica"/>
                <w:i w:val="0"/>
                <w:iCs w:val="0"/>
                <w:caps w:val="0"/>
                <w:color w:val="292929"/>
                <w:spacing w:val="0"/>
                <w:sz w:val="19"/>
                <w:szCs w:val="19"/>
                <w:vertAlign w:val="baseline"/>
              </w:rPr>
            </w:pPr>
            <w:r>
              <w:rPr>
                <w:rFonts w:hint="eastAsia" w:ascii="Helvetica" w:hAnsi="Helvetica" w:eastAsia="宋体" w:cs="Helvetica"/>
                <w:i w:val="0"/>
                <w:iCs w:val="0"/>
                <w:caps w:val="0"/>
                <w:color w:val="292929"/>
                <w:spacing w:val="0"/>
                <w:sz w:val="19"/>
                <w:szCs w:val="19"/>
                <w:lang w:val="en-US" w:eastAsia="zh-CN"/>
              </w:rPr>
              <w:t>标考网络流媒体存储平台（16路）</w:t>
            </w:r>
          </w:p>
        </w:tc>
        <w:tc>
          <w:tcPr>
            <w:tcW w:w="0" w:type="auto"/>
            <w:vAlign w:val="top"/>
          </w:tcPr>
          <w:p w14:paraId="789FE0A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▲介于考试系统的特殊性，符合《国家教育考试网上巡查系统视频标准技术规范（2017版）》相关技术规范；</w:t>
            </w:r>
          </w:p>
          <w:p w14:paraId="170A66D1">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性能满足但不限于：设备需支持≥1个HDMI接口、≥1个VGA接口、≥1个前置USB2.0接口、≥1个后置USB3.0接口</w:t>
            </w:r>
          </w:p>
          <w:p w14:paraId="7B67481D">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功能满足但不限于：性能满足但不限于：支持5个SATA 接口的硬盘，每个 SATA 口最大可接入20T 容量的硬盘，支持16路摄像机接入；</w:t>
            </w:r>
          </w:p>
          <w:p w14:paraId="1FBB7C0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介于考试系统的特殊性，根据国家教育考试规范要求；所提供产品必须符合《国家教育考试网上巡查系统视频标准技术规范（2017版）》相关技术规范；需与云南省国家教育考试巡查系统平台互联互通。</w:t>
            </w:r>
          </w:p>
          <w:p w14:paraId="6903ECF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eastAsia" w:ascii="Helvetica" w:hAnsi="Helvetica" w:eastAsia="宋体" w:cs="Helvetica"/>
                <w:i w:val="0"/>
                <w:iCs w:val="0"/>
                <w:caps w:val="0"/>
                <w:color w:val="292929"/>
                <w:spacing w:val="0"/>
                <w:sz w:val="19"/>
                <w:szCs w:val="19"/>
                <w:vertAlign w:val="baseline"/>
                <w:lang w:val="en-US" w:eastAsia="zh-CN"/>
              </w:rPr>
              <w:t>配备6TB存储。</w:t>
            </w:r>
          </w:p>
        </w:tc>
        <w:tc>
          <w:tcPr>
            <w:tcW w:w="0" w:type="auto"/>
          </w:tcPr>
          <w:p w14:paraId="0706CB34">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w:t>
            </w:r>
            <w:r>
              <w:rPr>
                <w:rFonts w:hint="eastAsia" w:ascii="Helvetica" w:hAnsi="Helvetica" w:cs="Helvetica"/>
                <w:i w:val="0"/>
                <w:iCs w:val="0"/>
                <w:caps w:val="0"/>
                <w:color w:val="292929"/>
                <w:spacing w:val="0"/>
                <w:sz w:val="19"/>
                <w:szCs w:val="19"/>
                <w:vertAlign w:val="baseline"/>
                <w:lang w:val="en-US" w:eastAsia="zh-CN"/>
              </w:rPr>
              <w:t>套</w:t>
            </w:r>
          </w:p>
        </w:tc>
      </w:tr>
      <w:tr w14:paraId="5615E79F">
        <w:tc>
          <w:tcPr>
            <w:tcW w:w="0" w:type="auto"/>
          </w:tcPr>
          <w:p w14:paraId="0A5D9321">
            <w:pPr>
              <w:pStyle w:val="35"/>
              <w:keepNext w:val="0"/>
              <w:keepLines w:val="0"/>
              <w:widowControl/>
              <w:numPr>
                <w:ilvl w:val="0"/>
                <w:numId w:val="0"/>
              </w:numPr>
              <w:suppressLineNumbers w:val="0"/>
              <w:ind w:right="0" w:rightChars="0"/>
              <w:jc w:val="center"/>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3</w:t>
            </w:r>
          </w:p>
        </w:tc>
        <w:tc>
          <w:tcPr>
            <w:tcW w:w="0" w:type="auto"/>
          </w:tcPr>
          <w:p w14:paraId="14B1FCE9">
            <w:pPr>
              <w:pStyle w:val="35"/>
              <w:keepNext w:val="0"/>
              <w:keepLines w:val="0"/>
              <w:widowControl/>
              <w:numPr>
                <w:ilvl w:val="0"/>
                <w:numId w:val="0"/>
              </w:numPr>
              <w:suppressLineNumbers w:val="0"/>
              <w:ind w:right="0" w:rightChars="0"/>
              <w:jc w:val="left"/>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接入交换机</w:t>
            </w:r>
          </w:p>
        </w:tc>
        <w:tc>
          <w:tcPr>
            <w:tcW w:w="0" w:type="auto"/>
            <w:vAlign w:val="top"/>
          </w:tcPr>
          <w:p w14:paraId="141A29A7">
            <w:pPr>
              <w:pStyle w:val="35"/>
              <w:keepNext w:val="0"/>
              <w:keepLines w:val="0"/>
              <w:widowControl/>
              <w:numPr>
                <w:ilvl w:val="0"/>
                <w:numId w:val="0"/>
              </w:numPr>
              <w:suppressLineNumbers w:val="0"/>
              <w:ind w:left="0" w:leftChars="0" w:right="0" w:rightChars="0" w:firstLine="0" w:firstLineChars="0"/>
              <w:jc w:val="left"/>
              <w:rPr>
                <w:rFonts w:hint="default" w:ascii="Helvetica" w:hAnsi="Helvetica" w:eastAsia="Helvetica" w:cs="Helvetica"/>
                <w:i w:val="0"/>
                <w:iCs w:val="0"/>
                <w:caps w:val="0"/>
                <w:color w:val="292929"/>
                <w:spacing w:val="0"/>
                <w:sz w:val="19"/>
                <w:szCs w:val="19"/>
                <w:vertAlign w:val="baseline"/>
                <w:lang w:val="en-US"/>
              </w:rPr>
            </w:pPr>
            <w:r>
              <w:rPr>
                <w:rFonts w:hint="eastAsia" w:ascii="Helvetica" w:hAnsi="Helvetica" w:eastAsia="宋体" w:cs="Helvetica"/>
                <w:i w:val="0"/>
                <w:iCs w:val="0"/>
                <w:caps w:val="0"/>
                <w:color w:val="292929"/>
                <w:spacing w:val="0"/>
                <w:sz w:val="19"/>
                <w:szCs w:val="19"/>
                <w:vertAlign w:val="baseline"/>
                <w:lang w:val="en-US" w:eastAsia="zh-CN"/>
              </w:rPr>
              <w:t>交换容量336Gbps，包转发率78Mpps，24口10/100/1000Mbps自适应电口交换机，固化4个SFP千兆光口，支持VLAN、ACL、端口镜像、端口聚合等功能，</w:t>
            </w:r>
            <w:r>
              <w:rPr>
                <w:rFonts w:hint="eastAsia" w:ascii="Helvetica" w:hAnsi="Helvetica" w:cs="Helvetica"/>
                <w:i w:val="0"/>
                <w:iCs w:val="0"/>
                <w:caps w:val="0"/>
                <w:color w:val="292929"/>
                <w:spacing w:val="0"/>
                <w:sz w:val="19"/>
                <w:szCs w:val="19"/>
                <w:vertAlign w:val="baseline"/>
                <w:lang w:val="en-US" w:eastAsia="zh-CN"/>
              </w:rPr>
              <w:t>配套相关光模块，能够接入学校现有标考使用交换机。</w:t>
            </w:r>
          </w:p>
        </w:tc>
        <w:tc>
          <w:tcPr>
            <w:tcW w:w="0" w:type="auto"/>
          </w:tcPr>
          <w:p w14:paraId="64172DDA">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1台</w:t>
            </w:r>
          </w:p>
        </w:tc>
      </w:tr>
      <w:tr w14:paraId="00CD9278">
        <w:tc>
          <w:tcPr>
            <w:tcW w:w="0" w:type="auto"/>
          </w:tcPr>
          <w:p w14:paraId="3D6DB657">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4</w:t>
            </w:r>
          </w:p>
        </w:tc>
        <w:tc>
          <w:tcPr>
            <w:tcW w:w="0" w:type="auto"/>
          </w:tcPr>
          <w:p w14:paraId="6146238F">
            <w:pPr>
              <w:pStyle w:val="35"/>
              <w:keepNext w:val="0"/>
              <w:keepLines w:val="0"/>
              <w:widowControl/>
              <w:numPr>
                <w:ilvl w:val="0"/>
                <w:numId w:val="0"/>
              </w:numPr>
              <w:suppressLineNumbers w:val="0"/>
              <w:ind w:right="0" w:rightChars="0"/>
              <w:jc w:val="left"/>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CD播放器</w:t>
            </w:r>
          </w:p>
        </w:tc>
        <w:tc>
          <w:tcPr>
            <w:tcW w:w="0" w:type="auto"/>
            <w:vAlign w:val="top"/>
          </w:tcPr>
          <w:p w14:paraId="6DF2F8C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1.DVD/VCD/CD/CD-RW/MP4(AVI)MP3碟片播</w:t>
            </w:r>
            <w:r>
              <w:rPr>
                <w:rFonts w:hint="eastAsia" w:ascii="Helvetica" w:hAnsi="Helvetica" w:cs="Helvetica"/>
                <w:i w:val="0"/>
                <w:iCs w:val="0"/>
                <w:caps w:val="0"/>
                <w:color w:val="292929"/>
                <w:spacing w:val="0"/>
                <w:sz w:val="19"/>
                <w:szCs w:val="19"/>
                <w:vertAlign w:val="baseline"/>
                <w:lang w:val="en-US" w:eastAsia="zh-CN"/>
              </w:rPr>
              <w:t>放</w:t>
            </w:r>
          </w:p>
          <w:p w14:paraId="609EA5AE">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2.磁带/DVD/USB/SD/MMC复读；</w:t>
            </w:r>
          </w:p>
          <w:p w14:paraId="19FA65A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3.CD/MP3碟转录USB/SD/MMC功能卡功能；</w:t>
            </w:r>
          </w:p>
          <w:p w14:paraId="68D45C9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4.卡式磁带录放音；</w:t>
            </w:r>
          </w:p>
          <w:p w14:paraId="642405BF">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5.调频调幅两波段收音；</w:t>
            </w:r>
          </w:p>
          <w:p w14:paraId="38E35AAC">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6.特设USB/SD卡接口；</w:t>
            </w:r>
          </w:p>
          <w:p w14:paraId="7DC036CF">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7.使用交直流两用电源；</w:t>
            </w:r>
          </w:p>
          <w:p w14:paraId="4B3BED2F">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8.不低于21键遥控，随心所欲；</w:t>
            </w:r>
          </w:p>
          <w:p w14:paraId="7C3499B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9.环绕重低音；</w:t>
            </w:r>
          </w:p>
          <w:p w14:paraId="2041055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10.免打扰耳机插口。</w:t>
            </w:r>
          </w:p>
        </w:tc>
        <w:tc>
          <w:tcPr>
            <w:tcW w:w="0" w:type="auto"/>
          </w:tcPr>
          <w:p w14:paraId="6D462D88">
            <w:pPr>
              <w:pStyle w:val="35"/>
              <w:keepNext w:val="0"/>
              <w:keepLines w:val="0"/>
              <w:widowControl/>
              <w:numPr>
                <w:ilvl w:val="0"/>
                <w:numId w:val="0"/>
              </w:numPr>
              <w:suppressLineNumbers w:val="0"/>
              <w:ind w:right="0" w:rightChars="0"/>
              <w:jc w:val="center"/>
              <w:rPr>
                <w:rFonts w:hint="default" w:ascii="Helvetica" w:hAnsi="Helvetica"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10台</w:t>
            </w:r>
          </w:p>
        </w:tc>
      </w:tr>
      <w:tr w14:paraId="1AD9366E">
        <w:tc>
          <w:tcPr>
            <w:tcW w:w="0" w:type="auto"/>
          </w:tcPr>
          <w:p w14:paraId="50329E46">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5</w:t>
            </w:r>
          </w:p>
        </w:tc>
        <w:tc>
          <w:tcPr>
            <w:tcW w:w="0" w:type="auto"/>
          </w:tcPr>
          <w:p w14:paraId="0E6FF399">
            <w:pPr>
              <w:pStyle w:val="35"/>
              <w:keepNext w:val="0"/>
              <w:keepLines w:val="0"/>
              <w:widowControl/>
              <w:numPr>
                <w:ilvl w:val="0"/>
                <w:numId w:val="0"/>
              </w:numPr>
              <w:suppressLineNumbers w:val="0"/>
              <w:ind w:right="0" w:rightChars="0"/>
              <w:jc w:val="left"/>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CD/MP3播放器</w:t>
            </w:r>
          </w:p>
        </w:tc>
        <w:tc>
          <w:tcPr>
            <w:tcW w:w="0" w:type="auto"/>
            <w:vAlign w:val="top"/>
          </w:tcPr>
          <w:p w14:paraId="0F443C2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1.1U铝合金面板，人性化的抽手设计，美观实用。</w:t>
            </w:r>
          </w:p>
          <w:p w14:paraId="50396EB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2.微电脑控制，轻触式按键操作，高亮度动态LED显示，清晰醒目。</w:t>
            </w:r>
          </w:p>
          <w:p w14:paraId="21C6FD95">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3.采用进口数码机芯，吸入式防震设备，超强纠错功能。</w:t>
            </w:r>
          </w:p>
          <w:p w14:paraId="4CBF67B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4.自动播放控制，全数码伺服。</w:t>
            </w:r>
          </w:p>
          <w:p w14:paraId="0A738CD7">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5.带USB接口，支持1G至32G U盘，支持MP3、WMA、APE、FLAC等格式播放。</w:t>
            </w:r>
          </w:p>
          <w:p w14:paraId="7B3197B6">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6.可播放：CD/VCD/MP3/DVD碟片，U盘播放。</w:t>
            </w:r>
          </w:p>
          <w:p w14:paraId="0215C7EF">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7.1路音频信号左右声道（L /R）输出。</w:t>
            </w:r>
          </w:p>
          <w:p w14:paraId="7AB1237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8.视频输出、分量输出、同轴、S端子及光纤输出。</w:t>
            </w:r>
          </w:p>
          <w:p w14:paraId="2289A524">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9.可通过面板按键或红外遥控器控制操作。</w:t>
            </w:r>
          </w:p>
          <w:p w14:paraId="66C1158C">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10.可扩展红外遥控面板，对其进行控制。</w:t>
            </w:r>
          </w:p>
          <w:p w14:paraId="05E2FB1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11.带网络远程控制接口，可由PC服务器、远程网络话筒、主机控制播放所需音乐、开关机等。</w:t>
            </w:r>
          </w:p>
          <w:p w14:paraId="4258E9F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p>
        </w:tc>
        <w:tc>
          <w:tcPr>
            <w:tcW w:w="0" w:type="auto"/>
          </w:tcPr>
          <w:p w14:paraId="69EEC81C">
            <w:pPr>
              <w:pStyle w:val="35"/>
              <w:keepNext w:val="0"/>
              <w:keepLines w:val="0"/>
              <w:widowControl/>
              <w:numPr>
                <w:ilvl w:val="0"/>
                <w:numId w:val="0"/>
              </w:numPr>
              <w:suppressLineNumbers w:val="0"/>
              <w:ind w:right="0" w:rightChars="0"/>
              <w:jc w:val="center"/>
              <w:rPr>
                <w:rFonts w:hint="default" w:ascii="Helvetica" w:hAnsi="Helvetica"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2台</w:t>
            </w:r>
          </w:p>
        </w:tc>
      </w:tr>
      <w:tr w14:paraId="0931FC30">
        <w:tc>
          <w:tcPr>
            <w:tcW w:w="0" w:type="auto"/>
          </w:tcPr>
          <w:p w14:paraId="2FA2D5D2">
            <w:pPr>
              <w:pStyle w:val="35"/>
              <w:keepNext w:val="0"/>
              <w:keepLines w:val="0"/>
              <w:widowControl/>
              <w:numPr>
                <w:ilvl w:val="0"/>
                <w:numId w:val="0"/>
              </w:numPr>
              <w:suppressLineNumbers w:val="0"/>
              <w:ind w:right="0" w:rightChars="0"/>
              <w:jc w:val="center"/>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6</w:t>
            </w:r>
          </w:p>
        </w:tc>
        <w:tc>
          <w:tcPr>
            <w:tcW w:w="0" w:type="auto"/>
          </w:tcPr>
          <w:p w14:paraId="572DCEB5">
            <w:pPr>
              <w:pStyle w:val="35"/>
              <w:keepNext w:val="0"/>
              <w:keepLines w:val="0"/>
              <w:widowControl/>
              <w:numPr>
                <w:ilvl w:val="0"/>
                <w:numId w:val="0"/>
              </w:numPr>
              <w:suppressLineNumbers w:val="0"/>
              <w:ind w:right="0" w:rightChars="0"/>
              <w:jc w:val="left"/>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安装材料</w:t>
            </w:r>
          </w:p>
        </w:tc>
        <w:tc>
          <w:tcPr>
            <w:tcW w:w="0" w:type="auto"/>
            <w:vAlign w:val="top"/>
          </w:tcPr>
          <w:p w14:paraId="737F1DEC">
            <w:pPr>
              <w:pStyle w:val="35"/>
              <w:keepNext w:val="0"/>
              <w:keepLines w:val="0"/>
              <w:widowControl/>
              <w:numPr>
                <w:ilvl w:val="0"/>
                <w:numId w:val="0"/>
              </w:numPr>
              <w:suppressLineNumbers w:val="0"/>
              <w:ind w:left="0" w:leftChars="0" w:right="0" w:rightChars="0" w:firstLine="0" w:firstLineChars="0"/>
              <w:jc w:val="left"/>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2套视频摄像机安装及相关辅材，500米—600米光缆铺设及安装材料。</w:t>
            </w:r>
          </w:p>
        </w:tc>
        <w:tc>
          <w:tcPr>
            <w:tcW w:w="0" w:type="auto"/>
          </w:tcPr>
          <w:p w14:paraId="7DD69D0B">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1批</w:t>
            </w:r>
          </w:p>
        </w:tc>
      </w:tr>
    </w:tbl>
    <w:p w14:paraId="5AFBE9A9">
      <w:pPr>
        <w:ind w:firstLine="640" w:firstLineChars="200"/>
        <w:rPr>
          <w:rFonts w:hint="eastAsia" w:ascii="仿宋" w:hAnsi="仿宋" w:eastAsia="仿宋" w:cs="仿宋"/>
          <w:sz w:val="32"/>
          <w:szCs w:val="32"/>
        </w:rPr>
      </w:pPr>
      <w:r>
        <w:rPr>
          <w:rFonts w:hint="eastAsia" w:ascii="仿宋" w:hAnsi="仿宋" w:eastAsia="仿宋" w:cs="仿宋"/>
          <w:sz w:val="32"/>
          <w:szCs w:val="32"/>
        </w:rPr>
        <w:t>★注：本项目供应商须对项目进行整体报价，不得缺项、漏项，否则响应文件无效。</w:t>
      </w:r>
    </w:p>
    <w:p w14:paraId="1317EC7F">
      <w:pPr>
        <w:numPr>
          <w:ilvl w:val="0"/>
          <w:numId w:val="5"/>
        </w:numPr>
        <w:ind w:firstLine="640" w:firstLineChars="200"/>
        <w:rPr>
          <w:rFonts w:hint="eastAsia" w:ascii="仿宋" w:hAnsi="仿宋" w:eastAsia="仿宋" w:cs="仿宋"/>
          <w:sz w:val="32"/>
          <w:szCs w:val="32"/>
        </w:rPr>
      </w:pPr>
      <w:r>
        <w:rPr>
          <w:rFonts w:hint="eastAsia" w:ascii="仿宋" w:hAnsi="仿宋" w:eastAsia="仿宋" w:cs="仿宋"/>
          <w:sz w:val="32"/>
          <w:szCs w:val="32"/>
        </w:rPr>
        <w:t>质量要求：保证提供的产品是全新的、原装的、符合国家质量标准的产品。</w:t>
      </w:r>
    </w:p>
    <w:p w14:paraId="55997362">
      <w:pPr>
        <w:numPr>
          <w:ilvl w:val="0"/>
          <w:numId w:val="5"/>
        </w:numPr>
        <w:ind w:left="0" w:leftChars="0"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供货期：</w:t>
      </w:r>
      <w:r>
        <w:rPr>
          <w:rFonts w:hint="eastAsia" w:ascii="仿宋" w:hAnsi="仿宋" w:eastAsia="仿宋" w:cs="仿宋"/>
          <w:sz w:val="32"/>
          <w:szCs w:val="32"/>
        </w:rPr>
        <w:t>自合同签订之日起</w:t>
      </w:r>
      <w:r>
        <w:rPr>
          <w:rFonts w:hint="eastAsia" w:ascii="仿宋" w:hAnsi="仿宋" w:eastAsia="仿宋" w:cs="仿宋"/>
          <w:sz w:val="32"/>
          <w:szCs w:val="32"/>
          <w:lang w:val="en-US" w:eastAsia="zh-CN"/>
        </w:rPr>
        <w:t>3</w:t>
      </w:r>
      <w:r>
        <w:rPr>
          <w:rFonts w:hint="eastAsia" w:ascii="仿宋" w:hAnsi="仿宋" w:eastAsia="仿宋" w:cs="仿宋"/>
          <w:sz w:val="32"/>
          <w:szCs w:val="32"/>
        </w:rPr>
        <w:t>日历天，质保期：3年，自货物交付安装调试完毕，经验收合格之日起计算</w:t>
      </w:r>
      <w:r>
        <w:rPr>
          <w:rFonts w:hint="eastAsia" w:ascii="仿宋" w:hAnsi="仿宋" w:eastAsia="仿宋" w:cs="仿宋"/>
          <w:sz w:val="32"/>
          <w:szCs w:val="32"/>
          <w:lang w:eastAsia="zh-CN"/>
        </w:rPr>
        <w:t>。</w:t>
      </w:r>
    </w:p>
    <w:p w14:paraId="2B1E66B8">
      <w:pPr>
        <w:ind w:firstLine="640" w:firstLineChars="200"/>
        <w:rPr>
          <w:rFonts w:hint="eastAsia" w:ascii="黑体" w:hAnsi="黑体" w:eastAsia="黑体" w:cs="黑体"/>
          <w:sz w:val="32"/>
          <w:szCs w:val="32"/>
        </w:rPr>
      </w:pPr>
      <w:bookmarkStart w:id="18" w:name="_Toc3103"/>
      <w:r>
        <w:rPr>
          <w:rFonts w:hint="eastAsia" w:ascii="黑体" w:hAnsi="黑体" w:eastAsia="黑体" w:cs="黑体"/>
          <w:sz w:val="32"/>
          <w:szCs w:val="32"/>
          <w:lang w:val="en-US" w:eastAsia="zh-CN"/>
        </w:rPr>
        <w:t>三</w:t>
      </w:r>
      <w:r>
        <w:rPr>
          <w:rFonts w:hint="eastAsia" w:ascii="黑体" w:hAnsi="黑体" w:eastAsia="黑体" w:cs="黑体"/>
          <w:sz w:val="32"/>
          <w:szCs w:val="32"/>
        </w:rPr>
        <w:t>、</w:t>
      </w:r>
      <w:r>
        <w:rPr>
          <w:rFonts w:hint="eastAsia" w:ascii="黑体" w:hAnsi="黑体" w:eastAsia="黑体" w:cs="黑体"/>
          <w:sz w:val="32"/>
          <w:szCs w:val="32"/>
          <w:lang w:val="en-US" w:eastAsia="zh-CN"/>
        </w:rPr>
        <w:t>竞争性比选</w:t>
      </w:r>
      <w:r>
        <w:rPr>
          <w:rFonts w:hint="eastAsia" w:ascii="黑体" w:hAnsi="黑体" w:eastAsia="黑体" w:cs="黑体"/>
          <w:sz w:val="32"/>
          <w:szCs w:val="32"/>
        </w:rPr>
        <w:t>申请人的资格要求</w:t>
      </w:r>
      <w:bookmarkEnd w:id="18"/>
    </w:p>
    <w:p w14:paraId="61D0B79F">
      <w:pPr>
        <w:ind w:firstLine="640" w:firstLineChars="200"/>
        <w:rPr>
          <w:rFonts w:hint="eastAsia" w:ascii="仿宋" w:hAnsi="仿宋" w:eastAsia="仿宋" w:cs="仿宋"/>
          <w:sz w:val="32"/>
          <w:szCs w:val="32"/>
        </w:rPr>
      </w:pPr>
      <w:bookmarkStart w:id="19" w:name="_Toc8327"/>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具有独立承担民事责任的能力：提供在有效期内的营业执照或其他类似的法定证明文件（复印件加盖公章）；</w:t>
      </w:r>
    </w:p>
    <w:p w14:paraId="07262DAC">
      <w:pPr>
        <w:ind w:firstLine="640" w:firstLineChars="200"/>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具有良好的商业信誉和健全的财务会计制度：提供202</w:t>
      </w:r>
      <w:r>
        <w:rPr>
          <w:rFonts w:hint="eastAsia" w:ascii="仿宋" w:hAnsi="仿宋" w:eastAsia="仿宋" w:cs="仿宋"/>
          <w:sz w:val="32"/>
          <w:szCs w:val="32"/>
          <w:lang w:val="en-US" w:eastAsia="zh-CN"/>
        </w:rPr>
        <w:t>4</w:t>
      </w:r>
      <w:r>
        <w:rPr>
          <w:rFonts w:hint="eastAsia" w:ascii="仿宋" w:hAnsi="仿宋" w:eastAsia="仿宋" w:cs="仿宋"/>
          <w:sz w:val="32"/>
          <w:szCs w:val="32"/>
        </w:rPr>
        <w:t>或202</w:t>
      </w:r>
      <w:r>
        <w:rPr>
          <w:rFonts w:hint="eastAsia" w:ascii="仿宋" w:hAnsi="仿宋" w:eastAsia="仿宋" w:cs="仿宋"/>
          <w:sz w:val="32"/>
          <w:szCs w:val="32"/>
          <w:lang w:val="en-US" w:eastAsia="zh-CN"/>
        </w:rPr>
        <w:t>5</w:t>
      </w:r>
      <w:r>
        <w:rPr>
          <w:rFonts w:hint="eastAsia" w:ascii="仿宋" w:hAnsi="仿宋" w:eastAsia="仿宋" w:cs="仿宋"/>
          <w:sz w:val="32"/>
          <w:szCs w:val="32"/>
        </w:rPr>
        <w:t>年经第三方审计机构审计的年度财务状况审计报告（提供复印件加盖公章）或可提供自比选申请文件提交截止时间前三个月内开户银行出具的资信证明（复印件加盖比选申请人公章）；</w:t>
      </w:r>
    </w:p>
    <w:p w14:paraId="3B3FE5D1">
      <w:pPr>
        <w:ind w:firstLine="640" w:firstLineChars="200"/>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具有履行合同所必需的设备和专业技术能力：比选申请人须提供具有履行合同所必需的设备和专业技术能力证明材料（复印件加盖比选申请人公章）或书面声明（原件加盖公章）；</w:t>
      </w:r>
    </w:p>
    <w:p w14:paraId="4A81D95D">
      <w:pPr>
        <w:ind w:firstLine="640" w:firstLineChars="200"/>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有依法缴纳税收和社会保障资金的良好记录：比选申请人须提供所属时间在202</w:t>
      </w:r>
      <w:r>
        <w:rPr>
          <w:rFonts w:hint="eastAsia" w:ascii="仿宋" w:hAnsi="仿宋" w:eastAsia="仿宋" w:cs="仿宋"/>
          <w:sz w:val="32"/>
          <w:szCs w:val="32"/>
          <w:lang w:val="en-US" w:eastAsia="zh-CN"/>
        </w:rPr>
        <w:t>5</w:t>
      </w:r>
      <w:r>
        <w:rPr>
          <w:rFonts w:hint="eastAsia" w:ascii="仿宋" w:hAnsi="仿宋" w:eastAsia="仿宋" w:cs="仿宋"/>
          <w:sz w:val="32"/>
          <w:szCs w:val="32"/>
        </w:rPr>
        <w:t>年01月至本项目比选申请文件提交截止时间前任意2个月的税收通用缴款书及社会保险费缴款书或提供相关证明文件（复印件加盖比选申请人公章）；</w:t>
      </w:r>
    </w:p>
    <w:p w14:paraId="04A0A9DB">
      <w:pPr>
        <w:ind w:firstLine="640" w:firstLineChars="200"/>
        <w:rPr>
          <w:rFonts w:hint="eastAsia"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比选申请人参加采购活动前三年内，在经营活动中没有重大违法记录：比选申请人参加采购活动前三年内，在经营活动中没有重大违法记录（重大违法记录，是指比选申请人因违法经营受到刑事处罚或者责令停产停业、吊销许可证或者执照、较大数额罚款等行政处罚）的书面声明（原件加盖公章）；</w:t>
      </w:r>
    </w:p>
    <w:p w14:paraId="179CB91B">
      <w:pPr>
        <w:ind w:firstLine="640" w:firstLineChars="200"/>
        <w:rPr>
          <w:rFonts w:hint="eastAsia" w:ascii="仿宋" w:hAnsi="仿宋" w:eastAsia="仿宋" w:cs="仿宋"/>
          <w:sz w:val="32"/>
          <w:szCs w:val="32"/>
        </w:rPr>
      </w:pPr>
      <w:r>
        <w:rPr>
          <w:rFonts w:hint="eastAsia" w:ascii="仿宋" w:hAnsi="仿宋" w:eastAsia="仿宋" w:cs="仿宋"/>
          <w:sz w:val="32"/>
          <w:szCs w:val="32"/>
        </w:rPr>
        <w:t>6</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w:t>
      </w:r>
    </w:p>
    <w:p w14:paraId="6C5102FD">
      <w:pPr>
        <w:ind w:firstLine="640" w:firstLineChars="200"/>
        <w:rPr>
          <w:rFonts w:hint="eastAsia" w:ascii="仿宋" w:hAnsi="仿宋" w:eastAsia="仿宋" w:cs="仿宋"/>
          <w:sz w:val="32"/>
          <w:szCs w:val="32"/>
        </w:rPr>
      </w:pPr>
      <w:r>
        <w:rPr>
          <w:rFonts w:hint="eastAsia" w:ascii="仿宋" w:hAnsi="仿宋" w:eastAsia="仿宋" w:cs="仿宋"/>
          <w:sz w:val="32"/>
          <w:szCs w:val="32"/>
        </w:rPr>
        <w:t>7</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本项目不接受联合体参与比选。</w:t>
      </w:r>
    </w:p>
    <w:p w14:paraId="39BE47F6">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四</w:t>
      </w:r>
      <w:r>
        <w:rPr>
          <w:rFonts w:hint="eastAsia" w:ascii="黑体" w:hAnsi="黑体" w:eastAsia="黑体" w:cs="黑体"/>
          <w:sz w:val="32"/>
          <w:szCs w:val="32"/>
        </w:rPr>
        <w:t>、获取采购文件</w:t>
      </w:r>
      <w:bookmarkEnd w:id="19"/>
    </w:p>
    <w:p w14:paraId="128292EF">
      <w:pPr>
        <w:ind w:firstLine="640" w:firstLineChars="200"/>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时间：</w:t>
      </w:r>
      <w:r>
        <w:rPr>
          <w:rFonts w:hint="eastAsia" w:ascii="仿宋" w:hAnsi="仿宋" w:eastAsia="仿宋" w:cs="仿宋"/>
          <w:sz w:val="32"/>
          <w:szCs w:val="32"/>
          <w:lang w:eastAsia="zh-CN"/>
        </w:rPr>
        <w:t>2026年5月18日</w:t>
      </w:r>
      <w:r>
        <w:rPr>
          <w:rFonts w:hint="eastAsia" w:ascii="仿宋" w:hAnsi="仿宋" w:eastAsia="仿宋" w:cs="仿宋"/>
          <w:sz w:val="32"/>
          <w:szCs w:val="32"/>
        </w:rPr>
        <w:t>09</w:t>
      </w:r>
      <w:r>
        <w:rPr>
          <w:rFonts w:hint="eastAsia" w:ascii="仿宋" w:hAnsi="仿宋" w:eastAsia="仿宋" w:cs="仿宋"/>
          <w:sz w:val="32"/>
          <w:szCs w:val="32"/>
          <w:lang w:eastAsia="zh-CN"/>
        </w:rPr>
        <w:t>:</w:t>
      </w:r>
      <w:r>
        <w:rPr>
          <w:rFonts w:hint="eastAsia" w:ascii="仿宋" w:hAnsi="仿宋" w:eastAsia="仿宋" w:cs="仿宋"/>
          <w:sz w:val="32"/>
          <w:szCs w:val="32"/>
        </w:rPr>
        <w:t>00时</w:t>
      </w:r>
      <w:r>
        <w:rPr>
          <w:rFonts w:hint="eastAsia" w:ascii="仿宋" w:hAnsi="仿宋" w:eastAsia="仿宋" w:cs="仿宋"/>
          <w:sz w:val="32"/>
          <w:szCs w:val="32"/>
          <w:lang w:eastAsia="zh-CN"/>
        </w:rPr>
        <w:t>至2026年5月20日</w:t>
      </w:r>
      <w:r>
        <w:rPr>
          <w:rFonts w:hint="eastAsia" w:ascii="仿宋" w:hAnsi="仿宋" w:eastAsia="仿宋" w:cs="仿宋"/>
          <w:sz w:val="32"/>
          <w:szCs w:val="32"/>
        </w:rPr>
        <w:t>17:00时（北京时间）；</w:t>
      </w:r>
    </w:p>
    <w:p w14:paraId="644365EF">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方式：</w:t>
      </w:r>
      <w:r>
        <w:rPr>
          <w:rFonts w:hint="eastAsia" w:ascii="仿宋" w:hAnsi="仿宋" w:eastAsia="仿宋" w:cs="仿宋"/>
          <w:sz w:val="32"/>
          <w:szCs w:val="32"/>
          <w:lang w:val="en-US" w:eastAsia="zh-CN"/>
        </w:rPr>
        <w:t>采用网上获取竞争性比选文件。请将（1）营业执照（盖章扫描件）；（2）法定代表人身份证明书（盖章扫描件）（法定代表人报名时提供）或法定代表人身份证明书（盖章扫描件）、授权委托书（盖章扫描件）（代理人报名时提供）以公司名称命名的PDF版报名材料发送至云南师范大学附属世纪金源学校邮</w:t>
      </w:r>
      <w:r>
        <w:rPr>
          <w:rFonts w:hint="eastAsia" w:ascii="仿宋" w:hAnsi="仿宋" w:eastAsia="仿宋" w:cs="仿宋"/>
          <w:sz w:val="32"/>
          <w:szCs w:val="32"/>
        </w:rPr>
        <w:t>箱（</w:t>
      </w:r>
      <w:r>
        <w:rPr>
          <w:rFonts w:hint="eastAsia" w:ascii="仿宋" w:hAnsi="仿宋" w:eastAsia="仿宋" w:cs="仿宋"/>
          <w:sz w:val="32"/>
          <w:szCs w:val="32"/>
          <w:lang w:val="en-US" w:eastAsia="zh-CN"/>
        </w:rPr>
        <w:t>sjjyxxzbh</w:t>
      </w:r>
      <w:r>
        <w:rPr>
          <w:rFonts w:hint="eastAsia" w:ascii="仿宋" w:hAnsi="仿宋" w:eastAsia="仿宋" w:cs="仿宋"/>
          <w:sz w:val="32"/>
          <w:szCs w:val="32"/>
        </w:rPr>
        <w:t>@</w:t>
      </w:r>
      <w:r>
        <w:rPr>
          <w:rFonts w:hint="eastAsia" w:ascii="仿宋" w:hAnsi="仿宋" w:eastAsia="仿宋" w:cs="仿宋"/>
          <w:sz w:val="32"/>
          <w:szCs w:val="32"/>
          <w:lang w:val="en-US" w:eastAsia="zh-CN"/>
        </w:rPr>
        <w:t>ysdsjjy</w:t>
      </w:r>
      <w:r>
        <w:rPr>
          <w:rFonts w:hint="eastAsia" w:ascii="仿宋" w:hAnsi="仿宋" w:eastAsia="仿宋" w:cs="仿宋"/>
          <w:sz w:val="32"/>
          <w:szCs w:val="32"/>
        </w:rPr>
        <w:t>.com）</w:t>
      </w:r>
      <w:r>
        <w:rPr>
          <w:rFonts w:hint="eastAsia" w:ascii="仿宋" w:hAnsi="仿宋" w:eastAsia="仿宋" w:cs="仿宋"/>
          <w:sz w:val="32"/>
          <w:szCs w:val="32"/>
          <w:lang w:val="en-US" w:eastAsia="zh-CN"/>
        </w:rPr>
        <w:t>后致电0871-67217076确认报名后在本公告附件中下载比选文件。</w:t>
      </w:r>
    </w:p>
    <w:p w14:paraId="4A35F3C2">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售价：人民币0元整（¥0.00元）。</w:t>
      </w:r>
    </w:p>
    <w:p w14:paraId="2203A952">
      <w:pPr>
        <w:ind w:firstLine="640" w:firstLineChars="200"/>
        <w:rPr>
          <w:rFonts w:hint="eastAsia" w:ascii="黑体" w:hAnsi="黑体" w:eastAsia="黑体" w:cs="黑体"/>
          <w:sz w:val="32"/>
          <w:szCs w:val="32"/>
        </w:rPr>
      </w:pPr>
      <w:bookmarkStart w:id="20" w:name="_Toc4950"/>
      <w:bookmarkStart w:id="21" w:name="_Toc15785"/>
      <w:r>
        <w:rPr>
          <w:rFonts w:hint="eastAsia" w:ascii="黑体" w:hAnsi="黑体" w:eastAsia="黑体" w:cs="黑体"/>
          <w:sz w:val="32"/>
          <w:szCs w:val="32"/>
          <w:lang w:val="en-US" w:eastAsia="zh-CN"/>
        </w:rPr>
        <w:t>五</w:t>
      </w:r>
      <w:r>
        <w:rPr>
          <w:rFonts w:hint="eastAsia" w:ascii="黑体" w:hAnsi="黑体" w:eastAsia="黑体" w:cs="黑体"/>
          <w:sz w:val="32"/>
          <w:szCs w:val="32"/>
        </w:rPr>
        <w:t>、</w:t>
      </w:r>
      <w:r>
        <w:rPr>
          <w:rFonts w:hint="eastAsia" w:ascii="黑体" w:hAnsi="黑体" w:eastAsia="黑体" w:cs="黑体"/>
          <w:sz w:val="32"/>
          <w:szCs w:val="32"/>
          <w:lang w:val="en-US" w:eastAsia="zh-CN"/>
        </w:rPr>
        <w:t>提交</w:t>
      </w:r>
      <w:r>
        <w:rPr>
          <w:rFonts w:hint="eastAsia" w:ascii="黑体" w:hAnsi="黑体" w:eastAsia="黑体" w:cs="黑体"/>
          <w:sz w:val="32"/>
          <w:szCs w:val="32"/>
        </w:rPr>
        <w:t>响应文件</w:t>
      </w:r>
      <w:r>
        <w:rPr>
          <w:rFonts w:hint="eastAsia" w:ascii="黑体" w:hAnsi="黑体" w:eastAsia="黑体" w:cs="黑体"/>
          <w:sz w:val="32"/>
          <w:szCs w:val="32"/>
          <w:lang w:val="en-US" w:eastAsia="zh-CN"/>
        </w:rPr>
        <w:t>的要求及</w:t>
      </w:r>
      <w:r>
        <w:rPr>
          <w:rFonts w:hint="eastAsia" w:ascii="黑体" w:hAnsi="黑体" w:eastAsia="黑体" w:cs="黑体"/>
          <w:sz w:val="32"/>
          <w:szCs w:val="32"/>
        </w:rPr>
        <w:t>截止时间、开标时间和地点</w:t>
      </w:r>
      <w:bookmarkEnd w:id="20"/>
      <w:bookmarkEnd w:id="21"/>
    </w:p>
    <w:p w14:paraId="39132174">
      <w:pPr>
        <w:ind w:firstLine="640" w:firstLineChars="200"/>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w:t>
      </w:r>
      <w:r>
        <w:rPr>
          <w:rFonts w:hint="eastAsia" w:ascii="仿宋" w:hAnsi="仿宋" w:eastAsia="仿宋" w:cs="仿宋"/>
          <w:sz w:val="32"/>
          <w:szCs w:val="32"/>
        </w:rPr>
        <w:t>请比选申请人根据比选文件要求和评审内容要求准备比选申请文件资料，内容包括：（1）报价一览表；（2）法定代表人身份证明书及授权委托书；（3）比选申请人资格证明文件；（4）供货及安装方案；（5）技术参数响应；（6）质量承诺及保障措施；（7）售后方案及违约承诺；（8）业绩；（9）其他。</w:t>
      </w:r>
    </w:p>
    <w:p w14:paraId="12213B1B">
      <w:pPr>
        <w:ind w:firstLine="640" w:firstLineChars="200"/>
        <w:rPr>
          <w:rFonts w:hint="eastAsia" w:ascii="仿宋" w:hAnsi="仿宋" w:eastAsia="仿宋" w:cs="仿宋"/>
          <w:sz w:val="32"/>
          <w:szCs w:val="32"/>
        </w:rPr>
      </w:pPr>
      <w:r>
        <w:rPr>
          <w:rFonts w:hint="eastAsia" w:ascii="仿宋" w:hAnsi="仿宋" w:eastAsia="仿宋" w:cs="仿宋"/>
          <w:sz w:val="32"/>
          <w:szCs w:val="32"/>
        </w:rPr>
        <w:t>比选申请文件应装订成册并密封加盖密封章，响应文件份数：1正1副1份电子文档。</w:t>
      </w:r>
    </w:p>
    <w:p w14:paraId="17F44EF4">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val="en-US" w:eastAsia="zh-CN"/>
        </w:rPr>
        <w:t>递交</w:t>
      </w:r>
      <w:r>
        <w:rPr>
          <w:rFonts w:hint="eastAsia" w:ascii="仿宋" w:hAnsi="仿宋" w:eastAsia="仿宋" w:cs="仿宋"/>
          <w:sz w:val="32"/>
          <w:szCs w:val="32"/>
          <w:lang w:eastAsia="zh-CN"/>
        </w:rPr>
        <w:t>响应</w:t>
      </w:r>
      <w:r>
        <w:rPr>
          <w:rFonts w:hint="eastAsia" w:ascii="仿宋" w:hAnsi="仿宋" w:eastAsia="仿宋" w:cs="仿宋"/>
          <w:sz w:val="32"/>
          <w:szCs w:val="32"/>
        </w:rPr>
        <w:t>文件截止时间：</w:t>
      </w:r>
      <w:r>
        <w:rPr>
          <w:rFonts w:hint="eastAsia" w:ascii="仿宋" w:hAnsi="仿宋" w:eastAsia="仿宋" w:cs="仿宋"/>
          <w:sz w:val="32"/>
          <w:szCs w:val="32"/>
          <w:lang w:eastAsia="zh-CN"/>
        </w:rPr>
        <w:t>2026年5月21日</w:t>
      </w:r>
      <w:r>
        <w:rPr>
          <w:rFonts w:hint="eastAsia" w:ascii="仿宋" w:hAnsi="仿宋" w:eastAsia="仿宋" w:cs="仿宋"/>
          <w:sz w:val="32"/>
          <w:szCs w:val="32"/>
          <w:lang w:val="en-US" w:eastAsia="zh-CN"/>
        </w:rPr>
        <w:t>09</w:t>
      </w:r>
      <w:r>
        <w:rPr>
          <w:rFonts w:hint="eastAsia" w:ascii="仿宋" w:hAnsi="仿宋" w:eastAsia="仿宋" w:cs="仿宋"/>
          <w:sz w:val="32"/>
          <w:szCs w:val="32"/>
          <w:lang w:eastAsia="zh-CN"/>
        </w:rPr>
        <w:t>时00分</w:t>
      </w:r>
      <w:r>
        <w:rPr>
          <w:rFonts w:hint="eastAsia" w:ascii="仿宋" w:hAnsi="仿宋" w:eastAsia="仿宋" w:cs="仿宋"/>
          <w:sz w:val="32"/>
          <w:szCs w:val="32"/>
        </w:rPr>
        <w:t>（北京时间）</w:t>
      </w:r>
      <w:r>
        <w:rPr>
          <w:rFonts w:hint="eastAsia" w:ascii="仿宋" w:hAnsi="仿宋" w:eastAsia="仿宋" w:cs="仿宋"/>
          <w:sz w:val="32"/>
          <w:szCs w:val="32"/>
          <w:lang w:eastAsia="zh-CN"/>
        </w:rPr>
        <w:t>，</w:t>
      </w:r>
      <w:r>
        <w:rPr>
          <w:rFonts w:hint="eastAsia" w:ascii="仿宋" w:hAnsi="仿宋" w:eastAsia="仿宋" w:cs="仿宋"/>
          <w:sz w:val="32"/>
          <w:szCs w:val="32"/>
        </w:rPr>
        <w:t>未按时递交比选申请文件的，采购人将拒绝接收。</w:t>
      </w:r>
    </w:p>
    <w:p w14:paraId="1935DDFE">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.开标时间：</w:t>
      </w:r>
      <w:r>
        <w:rPr>
          <w:rFonts w:hint="eastAsia" w:ascii="仿宋" w:hAnsi="仿宋" w:eastAsia="仿宋" w:cs="仿宋"/>
          <w:sz w:val="32"/>
          <w:szCs w:val="32"/>
          <w:lang w:eastAsia="zh-CN"/>
        </w:rPr>
        <w:t>2026年5月21日</w:t>
      </w:r>
      <w:r>
        <w:rPr>
          <w:rFonts w:hint="eastAsia" w:ascii="仿宋" w:hAnsi="仿宋" w:eastAsia="仿宋" w:cs="仿宋"/>
          <w:sz w:val="32"/>
          <w:szCs w:val="32"/>
          <w:lang w:val="en-US" w:eastAsia="zh-CN"/>
        </w:rPr>
        <w:t>09</w:t>
      </w:r>
      <w:r>
        <w:rPr>
          <w:rFonts w:hint="eastAsia" w:ascii="仿宋" w:hAnsi="仿宋" w:eastAsia="仿宋" w:cs="仿宋"/>
          <w:sz w:val="32"/>
          <w:szCs w:val="32"/>
          <w:lang w:eastAsia="zh-CN"/>
        </w:rPr>
        <w:t>时00分</w:t>
      </w:r>
      <w:r>
        <w:rPr>
          <w:rFonts w:hint="eastAsia" w:ascii="仿宋" w:hAnsi="仿宋" w:eastAsia="仿宋" w:cs="仿宋"/>
          <w:sz w:val="32"/>
          <w:szCs w:val="32"/>
        </w:rPr>
        <w:t>（北京时间）</w:t>
      </w:r>
    </w:p>
    <w:p w14:paraId="12B984FA">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.地点：云南师范大学附属世纪金源学校（昆明市广福路3678号）。</w:t>
      </w:r>
    </w:p>
    <w:p w14:paraId="107AC34D">
      <w:pPr>
        <w:ind w:firstLine="640" w:firstLineChars="200"/>
        <w:rPr>
          <w:rFonts w:hint="eastAsia" w:ascii="黑体" w:hAnsi="黑体" w:eastAsia="黑体" w:cs="黑体"/>
          <w:sz w:val="32"/>
          <w:szCs w:val="32"/>
        </w:rPr>
      </w:pPr>
      <w:bookmarkStart w:id="22" w:name="_Toc17097"/>
      <w:bookmarkStart w:id="23" w:name="_Toc15531"/>
      <w:r>
        <w:rPr>
          <w:rFonts w:hint="eastAsia" w:ascii="黑体" w:hAnsi="黑体" w:eastAsia="黑体" w:cs="黑体"/>
          <w:sz w:val="32"/>
          <w:szCs w:val="32"/>
          <w:lang w:val="en-US" w:eastAsia="zh-CN"/>
        </w:rPr>
        <w:t>六、</w:t>
      </w:r>
      <w:r>
        <w:rPr>
          <w:rFonts w:hint="eastAsia" w:ascii="黑体" w:hAnsi="黑体" w:eastAsia="黑体" w:cs="黑体"/>
          <w:sz w:val="32"/>
          <w:szCs w:val="32"/>
        </w:rPr>
        <w:t>入围</w:t>
      </w:r>
      <w:r>
        <w:rPr>
          <w:rFonts w:hint="eastAsia" w:ascii="黑体" w:hAnsi="黑体" w:eastAsia="黑体" w:cs="黑体"/>
          <w:sz w:val="32"/>
          <w:szCs w:val="32"/>
          <w:lang w:val="en-US" w:eastAsia="zh-CN"/>
        </w:rPr>
        <w:t>供应商</w:t>
      </w:r>
      <w:r>
        <w:rPr>
          <w:rFonts w:hint="eastAsia" w:ascii="黑体" w:hAnsi="黑体" w:eastAsia="黑体" w:cs="黑体"/>
          <w:sz w:val="32"/>
          <w:szCs w:val="32"/>
        </w:rPr>
        <w:t>评定原则</w:t>
      </w:r>
    </w:p>
    <w:p w14:paraId="4CD26D21">
      <w:pPr>
        <w:ind w:firstLine="640" w:firstLineChars="200"/>
        <w:rPr>
          <w:rFonts w:hint="eastAsia" w:ascii="仿宋" w:hAnsi="仿宋" w:eastAsia="仿宋" w:cs="仿宋"/>
          <w:sz w:val="32"/>
          <w:szCs w:val="32"/>
        </w:rPr>
      </w:pPr>
      <w:r>
        <w:rPr>
          <w:rFonts w:hint="eastAsia" w:ascii="仿宋" w:hAnsi="仿宋" w:eastAsia="仿宋" w:cs="仿宋"/>
          <w:sz w:val="32"/>
          <w:szCs w:val="32"/>
        </w:rPr>
        <w:t>本项目采取综合评分法，满足资格要求且评审得分最高的比选申请人为成交供应商。具体评审标准详见</w:t>
      </w:r>
      <w:r>
        <w:rPr>
          <w:rFonts w:hint="eastAsia" w:ascii="仿宋" w:hAnsi="仿宋" w:eastAsia="仿宋" w:cs="仿宋"/>
          <w:sz w:val="32"/>
          <w:szCs w:val="32"/>
          <w:lang w:val="en-US" w:eastAsia="zh-CN"/>
        </w:rPr>
        <w:t>附件</w:t>
      </w:r>
      <w:r>
        <w:rPr>
          <w:rFonts w:hint="eastAsia" w:ascii="仿宋" w:hAnsi="仿宋" w:eastAsia="仿宋" w:cs="仿宋"/>
          <w:sz w:val="32"/>
          <w:szCs w:val="32"/>
        </w:rPr>
        <w:t>。</w:t>
      </w:r>
    </w:p>
    <w:p w14:paraId="7CB0366F">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七</w:t>
      </w:r>
      <w:r>
        <w:rPr>
          <w:rFonts w:hint="eastAsia" w:ascii="黑体" w:hAnsi="黑体" w:eastAsia="黑体" w:cs="黑体"/>
          <w:sz w:val="32"/>
          <w:szCs w:val="32"/>
        </w:rPr>
        <w:t>、公告期限</w:t>
      </w:r>
      <w:bookmarkEnd w:id="22"/>
      <w:bookmarkEnd w:id="23"/>
    </w:p>
    <w:p w14:paraId="5AED6411">
      <w:pPr>
        <w:ind w:firstLine="640" w:firstLineChars="200"/>
        <w:rPr>
          <w:rFonts w:hint="eastAsia" w:ascii="仿宋" w:hAnsi="仿宋" w:eastAsia="仿宋" w:cs="仿宋"/>
          <w:sz w:val="32"/>
          <w:szCs w:val="32"/>
        </w:rPr>
      </w:pPr>
      <w:r>
        <w:rPr>
          <w:rFonts w:hint="eastAsia" w:ascii="仿宋" w:hAnsi="仿宋" w:eastAsia="仿宋" w:cs="仿宋"/>
          <w:sz w:val="32"/>
          <w:szCs w:val="32"/>
        </w:rPr>
        <w:t>自本公告发布之日起3个工作日。</w:t>
      </w:r>
    </w:p>
    <w:p w14:paraId="02B7C37B">
      <w:pPr>
        <w:ind w:firstLine="640" w:firstLineChars="200"/>
        <w:rPr>
          <w:rFonts w:hint="eastAsia" w:ascii="黑体" w:hAnsi="黑体" w:eastAsia="黑体" w:cs="黑体"/>
          <w:sz w:val="32"/>
          <w:szCs w:val="32"/>
        </w:rPr>
      </w:pPr>
      <w:bookmarkStart w:id="24" w:name="_Toc13489"/>
      <w:bookmarkStart w:id="25" w:name="_Toc5374"/>
      <w:r>
        <w:rPr>
          <w:rFonts w:hint="eastAsia" w:ascii="黑体" w:hAnsi="黑体" w:eastAsia="黑体" w:cs="黑体"/>
          <w:sz w:val="32"/>
          <w:szCs w:val="32"/>
          <w:lang w:val="en-US" w:eastAsia="zh-CN"/>
        </w:rPr>
        <w:t>八</w:t>
      </w:r>
      <w:r>
        <w:rPr>
          <w:rFonts w:hint="eastAsia" w:ascii="黑体" w:hAnsi="黑体" w:eastAsia="黑体" w:cs="黑体"/>
          <w:sz w:val="32"/>
          <w:szCs w:val="32"/>
        </w:rPr>
        <w:t>、其</w:t>
      </w:r>
      <w:r>
        <w:rPr>
          <w:rFonts w:hint="eastAsia" w:ascii="黑体" w:hAnsi="黑体" w:eastAsia="黑体" w:cs="黑体"/>
          <w:sz w:val="32"/>
          <w:szCs w:val="32"/>
          <w:lang w:val="en-US" w:eastAsia="zh-CN"/>
        </w:rPr>
        <w:t>他</w:t>
      </w:r>
      <w:r>
        <w:rPr>
          <w:rFonts w:hint="eastAsia" w:ascii="黑体" w:hAnsi="黑体" w:eastAsia="黑体" w:cs="黑体"/>
          <w:sz w:val="32"/>
          <w:szCs w:val="32"/>
        </w:rPr>
        <w:t>补充事宜</w:t>
      </w:r>
      <w:bookmarkEnd w:id="24"/>
      <w:bookmarkEnd w:id="25"/>
    </w:p>
    <w:p w14:paraId="4D48DD07">
      <w:pPr>
        <w:ind w:firstLine="640" w:firstLineChars="200"/>
        <w:rPr>
          <w:rFonts w:hint="eastAsia" w:ascii="仿宋" w:hAnsi="仿宋" w:eastAsia="仿宋" w:cs="仿宋"/>
          <w:sz w:val="32"/>
          <w:szCs w:val="32"/>
        </w:rPr>
      </w:pPr>
      <w:r>
        <w:rPr>
          <w:rFonts w:hint="eastAsia" w:ascii="仿宋" w:hAnsi="仿宋" w:eastAsia="仿宋" w:cs="仿宋"/>
          <w:sz w:val="32"/>
          <w:szCs w:val="32"/>
        </w:rPr>
        <w:t>1.开标方式：</w:t>
      </w:r>
      <w:r>
        <w:rPr>
          <w:rFonts w:hint="eastAsia" w:ascii="仿宋" w:hAnsi="仿宋" w:eastAsia="仿宋" w:cs="仿宋"/>
          <w:sz w:val="32"/>
          <w:szCs w:val="32"/>
          <w:lang w:val="en-US" w:eastAsia="zh-CN"/>
        </w:rPr>
        <w:t>现场</w:t>
      </w:r>
      <w:r>
        <w:rPr>
          <w:rFonts w:hint="eastAsia" w:ascii="仿宋" w:hAnsi="仿宋" w:eastAsia="仿宋" w:cs="仿宋"/>
          <w:sz w:val="32"/>
          <w:szCs w:val="32"/>
        </w:rPr>
        <w:t>开标</w:t>
      </w:r>
    </w:p>
    <w:p w14:paraId="52FB6D98">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2.是否需要缴纳</w:t>
      </w:r>
      <w:r>
        <w:rPr>
          <w:rFonts w:hint="eastAsia" w:ascii="仿宋" w:hAnsi="仿宋" w:eastAsia="仿宋" w:cs="仿宋"/>
          <w:sz w:val="32"/>
          <w:szCs w:val="32"/>
          <w:lang w:val="en-US" w:eastAsia="zh-CN"/>
        </w:rPr>
        <w:t>比选</w:t>
      </w:r>
      <w:r>
        <w:rPr>
          <w:rFonts w:hint="eastAsia" w:ascii="仿宋" w:hAnsi="仿宋" w:eastAsia="仿宋" w:cs="仿宋"/>
          <w:sz w:val="32"/>
          <w:szCs w:val="32"/>
        </w:rPr>
        <w:t>保证金：</w:t>
      </w:r>
      <w:r>
        <w:rPr>
          <w:rFonts w:hint="eastAsia" w:ascii="仿宋" w:hAnsi="仿宋" w:eastAsia="仿宋" w:cs="仿宋"/>
          <w:sz w:val="32"/>
          <w:szCs w:val="32"/>
          <w:lang w:val="en-US" w:eastAsia="zh-CN"/>
        </w:rPr>
        <w:t>否</w:t>
      </w:r>
    </w:p>
    <w:p w14:paraId="45730484">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.其</w:t>
      </w:r>
      <w:r>
        <w:rPr>
          <w:rFonts w:hint="eastAsia" w:ascii="仿宋" w:hAnsi="仿宋" w:eastAsia="仿宋" w:cs="仿宋"/>
          <w:sz w:val="32"/>
          <w:szCs w:val="32"/>
          <w:lang w:val="en-US" w:eastAsia="zh-CN"/>
        </w:rPr>
        <w:t>他</w:t>
      </w:r>
      <w:r>
        <w:rPr>
          <w:rFonts w:hint="eastAsia" w:ascii="仿宋" w:hAnsi="仿宋" w:eastAsia="仿宋" w:cs="仿宋"/>
          <w:sz w:val="32"/>
          <w:szCs w:val="32"/>
        </w:rPr>
        <w:t>：</w:t>
      </w:r>
      <w:r>
        <w:rPr>
          <w:rFonts w:hint="eastAsia" w:ascii="仿宋" w:hAnsi="仿宋" w:eastAsia="仿宋" w:cs="仿宋"/>
          <w:sz w:val="32"/>
          <w:szCs w:val="32"/>
          <w:lang w:val="en-US" w:eastAsia="zh-CN"/>
        </w:rPr>
        <w:t>本次比选公告及比选结果公告</w:t>
      </w:r>
      <w:r>
        <w:rPr>
          <w:rFonts w:hint="eastAsia" w:ascii="仿宋" w:hAnsi="仿宋" w:eastAsia="仿宋" w:cs="仿宋"/>
          <w:sz w:val="32"/>
          <w:szCs w:val="32"/>
        </w:rPr>
        <w:t>均仅在以下媒体发布：云南师范大学附属世纪金源学校官网（https://www.ysdsjjy.com/sjjycms/front/index）。</w:t>
      </w:r>
    </w:p>
    <w:p w14:paraId="2614795E">
      <w:pPr>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九</w:t>
      </w:r>
      <w:r>
        <w:rPr>
          <w:rFonts w:hint="eastAsia" w:ascii="黑体" w:hAnsi="黑体" w:eastAsia="黑体" w:cs="黑体"/>
          <w:sz w:val="32"/>
          <w:szCs w:val="32"/>
        </w:rPr>
        <w:t>、凡对本次采购提出询问，请按以下方式联系</w:t>
      </w:r>
    </w:p>
    <w:p w14:paraId="7C8A6725">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名    称：</w:t>
      </w:r>
      <w:r>
        <w:rPr>
          <w:rFonts w:hint="eastAsia" w:ascii="仿宋" w:hAnsi="仿宋" w:eastAsia="仿宋" w:cs="仿宋"/>
          <w:sz w:val="32"/>
          <w:szCs w:val="32"/>
          <w:lang w:eastAsia="zh-CN"/>
        </w:rPr>
        <w:t>云南师范大学附属世纪金源学校</w:t>
      </w:r>
    </w:p>
    <w:p w14:paraId="7DD7A0E2">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地    址：</w:t>
      </w:r>
      <w:r>
        <w:rPr>
          <w:rFonts w:hint="eastAsia" w:ascii="仿宋" w:hAnsi="仿宋" w:eastAsia="仿宋" w:cs="仿宋"/>
          <w:sz w:val="32"/>
          <w:szCs w:val="32"/>
          <w:lang w:eastAsia="zh-CN"/>
        </w:rPr>
        <w:t>云南省昆明市官渡区广福路3678号</w:t>
      </w:r>
    </w:p>
    <w:p w14:paraId="227DFE27">
      <w:pPr>
        <w:ind w:firstLine="640" w:firstLineChars="200"/>
        <w:rPr>
          <w:rFonts w:hint="eastAsia" w:ascii="仿宋" w:hAnsi="仿宋" w:eastAsia="仿宋" w:cs="仿宋"/>
          <w:sz w:val="32"/>
          <w:szCs w:val="32"/>
        </w:rPr>
      </w:pPr>
      <w:r>
        <w:rPr>
          <w:rFonts w:hint="eastAsia" w:ascii="仿宋" w:hAnsi="仿宋" w:eastAsia="仿宋" w:cs="仿宋"/>
          <w:sz w:val="32"/>
          <w:szCs w:val="32"/>
        </w:rPr>
        <w:t>联系方式：</w:t>
      </w:r>
      <w:r>
        <w:rPr>
          <w:rFonts w:hint="eastAsia" w:ascii="仿宋" w:hAnsi="仿宋" w:eastAsia="仿宋" w:cs="仿宋"/>
          <w:sz w:val="32"/>
          <w:szCs w:val="32"/>
          <w:lang w:eastAsia="zh-CN"/>
        </w:rPr>
        <w:t>王老</w:t>
      </w:r>
      <w:r>
        <w:rPr>
          <w:rFonts w:hint="eastAsia" w:ascii="仿宋" w:hAnsi="仿宋" w:eastAsia="仿宋" w:cs="仿宋"/>
          <w:sz w:val="32"/>
          <w:szCs w:val="32"/>
          <w:lang w:val="en-US" w:eastAsia="zh-CN"/>
        </w:rPr>
        <w:t>师</w:t>
      </w:r>
      <w:r>
        <w:rPr>
          <w:rFonts w:hint="eastAsia" w:ascii="仿宋" w:hAnsi="仿宋" w:eastAsia="仿宋" w:cs="仿宋"/>
          <w:sz w:val="32"/>
          <w:szCs w:val="32"/>
          <w:lang w:eastAsia="zh-CN"/>
        </w:rPr>
        <w:t xml:space="preserve">18987957691  梁老师 0871-67217058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李老师 0871-67217076</w:t>
      </w:r>
    </w:p>
    <w:p w14:paraId="527AB41C">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073141A4"/>
    <w:p w14:paraId="6A176F78">
      <w:pPr>
        <w:ind w:firstLine="640" w:firstLineChars="200"/>
        <w:rPr>
          <w:rFonts w:hint="eastAsia" w:ascii="仿宋" w:hAnsi="仿宋" w:eastAsia="仿宋" w:cs="仿宋"/>
          <w:sz w:val="32"/>
          <w:szCs w:val="32"/>
        </w:rPr>
      </w:pPr>
    </w:p>
    <w:p w14:paraId="29960E85">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0670FF5F">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7EF4F2C0">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6598042D">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727304B1">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27CC2575">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29A026FD">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3C25EA4E">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59070A89">
      <w:pPr>
        <w:pStyle w:val="35"/>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1" w:after="0" w:afterAutospacing="1"/>
        <w:ind w:right="0" w:rightChars="0"/>
        <w:jc w:val="left"/>
        <w:rPr>
          <w:rFonts w:hint="default" w:ascii="Helvetica" w:hAnsi="Helvetica" w:eastAsia="Helvetica" w:cs="Helvetica"/>
          <w:i w:val="0"/>
          <w:iCs w:val="0"/>
          <w:caps w:val="0"/>
          <w:color w:val="292929"/>
          <w:spacing w:val="0"/>
          <w:sz w:val="19"/>
          <w:szCs w:val="19"/>
        </w:rPr>
      </w:pPr>
    </w:p>
    <w:p w14:paraId="25841CD6">
      <w:pPr>
        <w:rPr>
          <w:rFonts w:hint="eastAsia"/>
        </w:rPr>
      </w:pPr>
    </w:p>
    <w:p w14:paraId="055F6447">
      <w:pPr>
        <w:pStyle w:val="5"/>
        <w:numPr>
          <w:ilvl w:val="0"/>
          <w:numId w:val="0"/>
        </w:numPr>
        <w:rPr>
          <w:rFonts w:hint="eastAsia" w:ascii="仿宋" w:hAnsi="仿宋" w:eastAsia="仿宋" w:cs="仿宋"/>
          <w:sz w:val="24"/>
          <w:szCs w:val="24"/>
        </w:rPr>
      </w:pPr>
    </w:p>
    <w:p w14:paraId="727C4514">
      <w:pPr>
        <w:pStyle w:val="5"/>
        <w:numPr>
          <w:ilvl w:val="0"/>
          <w:numId w:val="0"/>
        </w:numPr>
        <w:rPr>
          <w:rFonts w:hint="eastAsia"/>
        </w:rPr>
      </w:pPr>
    </w:p>
    <w:bookmarkEnd w:id="15"/>
    <w:p w14:paraId="5CD34162">
      <w:pPr>
        <w:pStyle w:val="7"/>
        <w:numPr>
          <w:ilvl w:val="0"/>
          <w:numId w:val="0"/>
        </w:numPr>
        <w:spacing w:line="600" w:lineRule="exact"/>
        <w:jc w:val="center"/>
        <w:rPr>
          <w:rFonts w:hint="eastAsia" w:ascii="仿宋" w:hAnsi="仿宋" w:eastAsia="仿宋" w:cs="仿宋"/>
          <w:color w:val="auto"/>
          <w:sz w:val="52"/>
          <w:szCs w:val="32"/>
        </w:rPr>
      </w:pPr>
    </w:p>
    <w:p w14:paraId="25DEAA62">
      <w:pPr>
        <w:rPr>
          <w:rFonts w:hint="eastAsia" w:ascii="仿宋" w:hAnsi="仿宋" w:eastAsia="仿宋" w:cs="仿宋"/>
          <w:color w:val="auto"/>
          <w:sz w:val="52"/>
          <w:szCs w:val="32"/>
        </w:rPr>
      </w:pPr>
    </w:p>
    <w:p w14:paraId="0D8A5EFE">
      <w:pPr>
        <w:rPr>
          <w:rFonts w:hint="eastAsia" w:ascii="仿宋" w:hAnsi="仿宋" w:eastAsia="仿宋" w:cs="仿宋"/>
          <w:color w:val="auto"/>
          <w:sz w:val="52"/>
          <w:szCs w:val="32"/>
        </w:rPr>
      </w:pPr>
    </w:p>
    <w:p w14:paraId="38F09761">
      <w:pPr>
        <w:rPr>
          <w:rFonts w:hint="eastAsia" w:ascii="仿宋" w:hAnsi="仿宋" w:eastAsia="仿宋" w:cs="仿宋"/>
          <w:color w:val="auto"/>
          <w:sz w:val="52"/>
          <w:szCs w:val="32"/>
        </w:rPr>
      </w:pPr>
    </w:p>
    <w:p w14:paraId="399C5E5F">
      <w:pPr>
        <w:rPr>
          <w:rFonts w:hint="eastAsia" w:ascii="仿宋" w:hAnsi="仿宋" w:eastAsia="仿宋" w:cs="仿宋"/>
          <w:color w:val="auto"/>
          <w:sz w:val="52"/>
          <w:szCs w:val="32"/>
        </w:rPr>
      </w:pPr>
    </w:p>
    <w:p w14:paraId="739A972D">
      <w:pPr>
        <w:pStyle w:val="7"/>
        <w:numPr>
          <w:ilvl w:val="0"/>
          <w:numId w:val="0"/>
        </w:numPr>
        <w:spacing w:line="600" w:lineRule="exact"/>
        <w:jc w:val="center"/>
        <w:rPr>
          <w:rFonts w:ascii="仿宋" w:hAnsi="仿宋" w:eastAsia="仿宋" w:cs="仿宋"/>
          <w:color w:val="auto"/>
          <w:sz w:val="52"/>
          <w:szCs w:val="32"/>
        </w:rPr>
      </w:pPr>
      <w:r>
        <w:rPr>
          <w:rFonts w:hint="eastAsia" w:ascii="仿宋" w:hAnsi="仿宋" w:eastAsia="仿宋" w:cs="仿宋"/>
          <w:color w:val="auto"/>
          <w:sz w:val="52"/>
          <w:szCs w:val="32"/>
        </w:rPr>
        <w:t>第二章  投标人须知</w:t>
      </w:r>
    </w:p>
    <w:p w14:paraId="0DF82079">
      <w:pPr>
        <w:pStyle w:val="7"/>
        <w:numPr>
          <w:ilvl w:val="0"/>
          <w:numId w:val="0"/>
        </w:numPr>
        <w:spacing w:line="600" w:lineRule="exact"/>
        <w:jc w:val="center"/>
        <w:rPr>
          <w:rFonts w:ascii="仿宋" w:hAnsi="仿宋" w:eastAsia="仿宋" w:cs="仿宋"/>
          <w:color w:val="auto"/>
          <w:sz w:val="52"/>
          <w:szCs w:val="32"/>
        </w:rPr>
      </w:pPr>
      <w:bookmarkStart w:id="26" w:name="_Toc13457"/>
      <w:bookmarkEnd w:id="26"/>
      <w:bookmarkStart w:id="27" w:name="_Toc19679"/>
      <w:bookmarkEnd w:id="27"/>
      <w:r>
        <w:rPr>
          <w:rFonts w:hint="eastAsia" w:ascii="仿宋" w:hAnsi="仿宋" w:eastAsia="仿宋" w:cs="仿宋"/>
          <w:color w:val="auto"/>
          <w:szCs w:val="28"/>
        </w:rPr>
        <w:t>投标人须知前附表</w:t>
      </w:r>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14:paraId="56FDA8B1">
        <w:trPr>
          <w:trHeight w:val="23" w:hRule="atLeast"/>
          <w:tblHeader/>
          <w:jc w:val="center"/>
        </w:trPr>
        <w:tc>
          <w:tcPr>
            <w:tcW w:w="377" w:type="pct"/>
            <w:vAlign w:val="center"/>
          </w:tcPr>
          <w:p w14:paraId="332D0E29">
            <w:pPr>
              <w:pStyle w:val="20"/>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条款号</w:t>
            </w:r>
          </w:p>
        </w:tc>
        <w:tc>
          <w:tcPr>
            <w:tcW w:w="974" w:type="pct"/>
            <w:vAlign w:val="center"/>
          </w:tcPr>
          <w:p w14:paraId="411B9DFC">
            <w:pPr>
              <w:pStyle w:val="20"/>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 款 名 称</w:t>
            </w:r>
          </w:p>
        </w:tc>
        <w:tc>
          <w:tcPr>
            <w:tcW w:w="3648" w:type="pct"/>
            <w:vAlign w:val="center"/>
          </w:tcPr>
          <w:p w14:paraId="738A619D">
            <w:pPr>
              <w:pStyle w:val="20"/>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编 列 内 容</w:t>
            </w:r>
          </w:p>
        </w:tc>
      </w:tr>
      <w:tr w14:paraId="5EE5FB2B">
        <w:trPr>
          <w:trHeight w:val="23" w:hRule="atLeast"/>
          <w:jc w:val="center"/>
        </w:trPr>
        <w:tc>
          <w:tcPr>
            <w:tcW w:w="377" w:type="pct"/>
            <w:vMerge w:val="restart"/>
            <w:vAlign w:val="center"/>
          </w:tcPr>
          <w:p w14:paraId="032B2FD8">
            <w:pPr>
              <w:pStyle w:val="20"/>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w:t>
            </w:r>
          </w:p>
        </w:tc>
        <w:tc>
          <w:tcPr>
            <w:tcW w:w="974" w:type="pct"/>
            <w:vAlign w:val="center"/>
          </w:tcPr>
          <w:p w14:paraId="32AD4157">
            <w:pPr>
              <w:pStyle w:val="20"/>
              <w:spacing w:line="360" w:lineRule="exact"/>
              <w:rPr>
                <w:rFonts w:ascii="仿宋" w:hAnsi="仿宋" w:eastAsia="仿宋" w:cs="仿宋"/>
                <w:color w:val="auto"/>
                <w:sz w:val="21"/>
                <w:szCs w:val="21"/>
                <w:u w:val="single"/>
              </w:rPr>
            </w:pPr>
            <w:r>
              <w:rPr>
                <w:rFonts w:hint="eastAsia" w:ascii="仿宋" w:hAnsi="仿宋" w:eastAsia="仿宋" w:cs="仿宋"/>
                <w:bCs/>
                <w:color w:val="auto"/>
                <w:sz w:val="21"/>
                <w:szCs w:val="21"/>
              </w:rPr>
              <w:t>招标人</w:t>
            </w:r>
          </w:p>
        </w:tc>
        <w:tc>
          <w:tcPr>
            <w:tcW w:w="3648" w:type="pct"/>
            <w:vAlign w:val="center"/>
          </w:tcPr>
          <w:p w14:paraId="743436C2">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p>
        </w:tc>
      </w:tr>
      <w:tr w14:paraId="63DF4B8C">
        <w:trPr>
          <w:trHeight w:val="23" w:hRule="atLeast"/>
          <w:jc w:val="center"/>
        </w:trPr>
        <w:tc>
          <w:tcPr>
            <w:tcW w:w="377" w:type="pct"/>
            <w:vMerge w:val="continue"/>
            <w:vAlign w:val="center"/>
          </w:tcPr>
          <w:p w14:paraId="0793981A">
            <w:pPr>
              <w:spacing w:line="360" w:lineRule="exact"/>
              <w:rPr>
                <w:rFonts w:ascii="仿宋" w:hAnsi="仿宋" w:eastAsia="仿宋" w:cs="仿宋"/>
                <w:color w:val="auto"/>
                <w:szCs w:val="21"/>
              </w:rPr>
            </w:pPr>
          </w:p>
        </w:tc>
        <w:tc>
          <w:tcPr>
            <w:tcW w:w="974" w:type="pct"/>
            <w:vAlign w:val="center"/>
          </w:tcPr>
          <w:p w14:paraId="75FCD87C">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项目名称</w:t>
            </w:r>
          </w:p>
        </w:tc>
        <w:tc>
          <w:tcPr>
            <w:tcW w:w="3648" w:type="pct"/>
            <w:vAlign w:val="center"/>
          </w:tcPr>
          <w:p w14:paraId="5D21001F">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1"/>
                <w:szCs w:val="21"/>
                <w:lang w:val="en-US" w:eastAsia="zh-CN"/>
              </w:rPr>
              <w:t>标准化考试视频监考摄像头增补安装项目</w:t>
            </w:r>
          </w:p>
        </w:tc>
      </w:tr>
      <w:tr w14:paraId="7E82B0EC">
        <w:trPr>
          <w:trHeight w:val="230" w:hRule="atLeast"/>
          <w:jc w:val="center"/>
        </w:trPr>
        <w:tc>
          <w:tcPr>
            <w:tcW w:w="377" w:type="pct"/>
            <w:vMerge w:val="continue"/>
            <w:vAlign w:val="center"/>
          </w:tcPr>
          <w:p w14:paraId="515AC4A6">
            <w:pPr>
              <w:spacing w:line="360" w:lineRule="exact"/>
              <w:rPr>
                <w:rFonts w:ascii="仿宋" w:hAnsi="仿宋" w:eastAsia="仿宋" w:cs="仿宋"/>
                <w:color w:val="auto"/>
                <w:szCs w:val="21"/>
              </w:rPr>
            </w:pPr>
          </w:p>
        </w:tc>
        <w:tc>
          <w:tcPr>
            <w:tcW w:w="974" w:type="pct"/>
            <w:vAlign w:val="center"/>
          </w:tcPr>
          <w:p w14:paraId="5B1FA8F9">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项目编号</w:t>
            </w:r>
          </w:p>
        </w:tc>
        <w:tc>
          <w:tcPr>
            <w:tcW w:w="3648" w:type="pct"/>
            <w:vAlign w:val="center"/>
          </w:tcPr>
          <w:p w14:paraId="0E7077A3">
            <w:pPr>
              <w:pStyle w:val="20"/>
              <w:spacing w:line="360" w:lineRule="exac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 xml:space="preserve"> </w:t>
            </w:r>
            <w:r>
              <w:rPr>
                <w:rFonts w:hint="eastAsia" w:ascii="仿宋" w:hAnsi="仿宋" w:eastAsia="仿宋" w:cs="仿宋"/>
                <w:color w:val="auto"/>
                <w:sz w:val="21"/>
                <w:szCs w:val="21"/>
                <w:lang w:val="en-US" w:eastAsia="zh-CN"/>
              </w:rPr>
              <w:t>无</w:t>
            </w:r>
          </w:p>
        </w:tc>
      </w:tr>
      <w:tr w14:paraId="062D7406">
        <w:trPr>
          <w:trHeight w:val="23" w:hRule="atLeast"/>
          <w:jc w:val="center"/>
        </w:trPr>
        <w:tc>
          <w:tcPr>
            <w:tcW w:w="377" w:type="pct"/>
            <w:vAlign w:val="center"/>
          </w:tcPr>
          <w:p w14:paraId="3B0A45CE">
            <w:pPr>
              <w:pStyle w:val="20"/>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2.1</w:t>
            </w:r>
          </w:p>
        </w:tc>
        <w:tc>
          <w:tcPr>
            <w:tcW w:w="974" w:type="pct"/>
            <w:vAlign w:val="center"/>
          </w:tcPr>
          <w:p w14:paraId="078895D6">
            <w:pPr>
              <w:pStyle w:val="20"/>
              <w:spacing w:line="360" w:lineRule="exact"/>
              <w:rPr>
                <w:rFonts w:ascii="仿宋" w:hAnsi="仿宋" w:eastAsia="仿宋" w:cs="仿宋"/>
                <w:color w:val="auto"/>
                <w:sz w:val="21"/>
                <w:szCs w:val="21"/>
              </w:rPr>
            </w:pPr>
            <w:r>
              <w:rPr>
                <w:rFonts w:hint="eastAsia" w:ascii="仿宋" w:hAnsi="仿宋" w:eastAsia="仿宋" w:cs="仿宋"/>
                <w:color w:val="auto"/>
                <w:spacing w:val="-11"/>
                <w:sz w:val="21"/>
                <w:szCs w:val="21"/>
              </w:rPr>
              <w:t>项目预算及最高限价</w:t>
            </w:r>
          </w:p>
        </w:tc>
        <w:tc>
          <w:tcPr>
            <w:tcW w:w="3648" w:type="pct"/>
            <w:vAlign w:val="center"/>
          </w:tcPr>
          <w:p w14:paraId="00711A65">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lang w:val="en-US" w:eastAsia="zh-CN"/>
              </w:rPr>
              <w:t>陆</w:t>
            </w:r>
            <w:r>
              <w:rPr>
                <w:rFonts w:hint="eastAsia" w:ascii="仿宋" w:hAnsi="仿宋" w:eastAsia="仿宋" w:cs="仿宋"/>
                <w:color w:val="auto"/>
                <w:sz w:val="21"/>
                <w:szCs w:val="21"/>
              </w:rPr>
              <w:t>万</w:t>
            </w:r>
            <w:r>
              <w:rPr>
                <w:rFonts w:hint="eastAsia" w:ascii="仿宋" w:hAnsi="仿宋" w:eastAsia="仿宋" w:cs="仿宋"/>
                <w:color w:val="auto"/>
                <w:sz w:val="21"/>
                <w:szCs w:val="21"/>
                <w:lang w:val="en-US" w:eastAsia="zh-CN"/>
              </w:rPr>
              <w:t>捌仟肆佰捌拾捌元</w:t>
            </w:r>
            <w:r>
              <w:rPr>
                <w:rFonts w:hint="eastAsia" w:ascii="仿宋" w:hAnsi="仿宋" w:eastAsia="仿宋" w:cs="仿宋"/>
                <w:color w:val="auto"/>
                <w:sz w:val="21"/>
                <w:szCs w:val="21"/>
              </w:rPr>
              <w:t>整（</w:t>
            </w:r>
            <w:r>
              <w:rPr>
                <w:rFonts w:hint="eastAsia" w:ascii="仿宋" w:hAnsi="仿宋" w:eastAsia="仿宋" w:cs="仿宋"/>
                <w:color w:val="auto"/>
                <w:sz w:val="21"/>
                <w:szCs w:val="21"/>
                <w:lang w:val="en-US" w:eastAsia="zh-CN"/>
              </w:rPr>
              <w:t>68488.00元</w:t>
            </w:r>
            <w:r>
              <w:rPr>
                <w:rFonts w:hint="eastAsia" w:ascii="仿宋" w:hAnsi="仿宋" w:eastAsia="仿宋" w:cs="仿宋"/>
                <w:color w:val="auto"/>
                <w:sz w:val="21"/>
                <w:szCs w:val="21"/>
              </w:rPr>
              <w:t>）</w:t>
            </w:r>
          </w:p>
        </w:tc>
      </w:tr>
      <w:tr w14:paraId="267EDF3B">
        <w:trPr>
          <w:trHeight w:val="90" w:hRule="atLeast"/>
          <w:jc w:val="center"/>
        </w:trPr>
        <w:tc>
          <w:tcPr>
            <w:tcW w:w="377" w:type="pct"/>
            <w:vAlign w:val="center"/>
          </w:tcPr>
          <w:p w14:paraId="11587AE7">
            <w:pPr>
              <w:pStyle w:val="20"/>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3.1</w:t>
            </w:r>
          </w:p>
        </w:tc>
        <w:tc>
          <w:tcPr>
            <w:tcW w:w="974" w:type="pct"/>
            <w:vAlign w:val="center"/>
          </w:tcPr>
          <w:p w14:paraId="287B2BF8">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招标内容</w:t>
            </w:r>
          </w:p>
        </w:tc>
        <w:tc>
          <w:tcPr>
            <w:tcW w:w="3648" w:type="pct"/>
            <w:vAlign w:val="center"/>
          </w:tcPr>
          <w:p w14:paraId="4A73E1E6">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1"/>
                <w:szCs w:val="21"/>
                <w:lang w:val="en-US" w:eastAsia="zh-CN"/>
              </w:rPr>
              <w:t>标准化考试视频监考摄像头增补安装项目</w:t>
            </w:r>
            <w:r>
              <w:rPr>
                <w:rFonts w:hint="eastAsia" w:ascii="仿宋" w:hAnsi="仿宋" w:eastAsia="仿宋" w:cs="仿宋"/>
                <w:color w:val="auto"/>
                <w:sz w:val="21"/>
                <w:szCs w:val="21"/>
              </w:rPr>
              <w:t>，具体要求详见第四章“项目需求”。</w:t>
            </w:r>
          </w:p>
        </w:tc>
      </w:tr>
      <w:tr w14:paraId="37A29EB8">
        <w:trPr>
          <w:trHeight w:val="482" w:hRule="atLeast"/>
          <w:jc w:val="center"/>
        </w:trPr>
        <w:tc>
          <w:tcPr>
            <w:tcW w:w="377" w:type="pct"/>
            <w:vAlign w:val="center"/>
          </w:tcPr>
          <w:p w14:paraId="32526A09">
            <w:pPr>
              <w:pStyle w:val="20"/>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3.2</w:t>
            </w:r>
          </w:p>
        </w:tc>
        <w:tc>
          <w:tcPr>
            <w:tcW w:w="974" w:type="pct"/>
            <w:vAlign w:val="center"/>
          </w:tcPr>
          <w:p w14:paraId="74F8309F">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lang w:val="en-US" w:eastAsia="zh-CN"/>
              </w:rPr>
              <w:t>质保</w:t>
            </w:r>
            <w:r>
              <w:rPr>
                <w:rFonts w:hint="eastAsia" w:ascii="仿宋" w:hAnsi="仿宋" w:eastAsia="仿宋" w:cs="仿宋"/>
                <w:color w:val="auto"/>
                <w:sz w:val="21"/>
                <w:szCs w:val="21"/>
              </w:rPr>
              <w:t>期</w:t>
            </w:r>
          </w:p>
        </w:tc>
        <w:tc>
          <w:tcPr>
            <w:tcW w:w="3648" w:type="pct"/>
            <w:vAlign w:val="center"/>
          </w:tcPr>
          <w:p w14:paraId="3F8D5982">
            <w:pPr>
              <w:spacing w:line="420" w:lineRule="exact"/>
              <w:rPr>
                <w:rFonts w:hint="default" w:ascii="仿宋" w:hAnsi="仿宋" w:eastAsia="仿宋" w:cs="仿宋"/>
                <w:color w:val="auto"/>
                <w:szCs w:val="21"/>
                <w:lang w:val="en-US" w:eastAsia="zh-CN"/>
              </w:rPr>
            </w:pPr>
            <w:r>
              <w:rPr>
                <w:rFonts w:hint="eastAsia" w:ascii="仿宋" w:hAnsi="仿宋" w:eastAsia="仿宋" w:cs="仿宋"/>
                <w:color w:val="auto"/>
                <w:szCs w:val="21"/>
                <w:lang w:val="en-US" w:eastAsia="zh-CN"/>
              </w:rPr>
              <w:t>3</w:t>
            </w:r>
            <w:r>
              <w:rPr>
                <w:rFonts w:hint="eastAsia" w:ascii="仿宋" w:hAnsi="仿宋" w:eastAsia="仿宋" w:cs="仿宋"/>
                <w:color w:val="auto"/>
                <w:kern w:val="0"/>
                <w:sz w:val="21"/>
                <w:szCs w:val="21"/>
                <w:lang w:val="en-US" w:eastAsia="zh-CN" w:bidi="ar-SA"/>
              </w:rPr>
              <w:t>年</w:t>
            </w:r>
            <w:r>
              <w:rPr>
                <w:rFonts w:hint="default" w:ascii="仿宋" w:hAnsi="仿宋" w:eastAsia="仿宋" w:cs="仿宋"/>
                <w:color w:val="auto"/>
                <w:kern w:val="0"/>
                <w:sz w:val="21"/>
                <w:szCs w:val="21"/>
                <w:lang w:val="en-US" w:eastAsia="zh-CN" w:bidi="ar-SA"/>
              </w:rPr>
              <w:t>，自货物交付安装调试完毕，经验收合格之日起计算</w:t>
            </w:r>
            <w:r>
              <w:rPr>
                <w:rFonts w:hint="eastAsia" w:ascii="仿宋" w:hAnsi="仿宋" w:eastAsia="仿宋" w:cs="仿宋"/>
                <w:color w:val="auto"/>
                <w:kern w:val="0"/>
                <w:sz w:val="21"/>
                <w:szCs w:val="21"/>
                <w:lang w:val="en-US" w:eastAsia="zh-CN" w:bidi="ar-SA"/>
              </w:rPr>
              <w:t>。</w:t>
            </w:r>
          </w:p>
        </w:tc>
      </w:tr>
      <w:tr w14:paraId="090B5CEF">
        <w:trPr>
          <w:trHeight w:val="23" w:hRule="atLeast"/>
          <w:jc w:val="center"/>
        </w:trPr>
        <w:tc>
          <w:tcPr>
            <w:tcW w:w="377" w:type="pct"/>
            <w:vAlign w:val="center"/>
          </w:tcPr>
          <w:p w14:paraId="251A47CA">
            <w:pPr>
              <w:pStyle w:val="20"/>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3.3</w:t>
            </w:r>
          </w:p>
        </w:tc>
        <w:tc>
          <w:tcPr>
            <w:tcW w:w="974" w:type="pct"/>
            <w:vAlign w:val="center"/>
          </w:tcPr>
          <w:p w14:paraId="4F4E231B">
            <w:pPr>
              <w:pStyle w:val="20"/>
              <w:spacing w:line="360" w:lineRule="exact"/>
              <w:rPr>
                <w:rFonts w:ascii="仿宋" w:hAnsi="仿宋" w:eastAsia="仿宋" w:cs="仿宋"/>
                <w:color w:val="auto"/>
                <w:sz w:val="21"/>
                <w:szCs w:val="21"/>
              </w:rPr>
            </w:pPr>
            <w:r>
              <w:rPr>
                <w:rFonts w:hint="eastAsia" w:ascii="仿宋" w:hAnsi="仿宋" w:eastAsia="仿宋" w:cs="仿宋"/>
                <w:color w:val="auto"/>
                <w:kern w:val="2"/>
                <w:sz w:val="21"/>
                <w:szCs w:val="21"/>
              </w:rPr>
              <w:t>服务地点</w:t>
            </w:r>
          </w:p>
        </w:tc>
        <w:tc>
          <w:tcPr>
            <w:tcW w:w="3648" w:type="pct"/>
            <w:vAlign w:val="center"/>
          </w:tcPr>
          <w:p w14:paraId="4DA2D0C5">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w:t>
            </w:r>
          </w:p>
        </w:tc>
      </w:tr>
      <w:tr w14:paraId="607ECD51">
        <w:trPr>
          <w:trHeight w:val="23" w:hRule="atLeast"/>
          <w:jc w:val="center"/>
        </w:trPr>
        <w:tc>
          <w:tcPr>
            <w:tcW w:w="377" w:type="pct"/>
            <w:vAlign w:val="center"/>
          </w:tcPr>
          <w:p w14:paraId="05463038">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★4.1</w:t>
            </w:r>
          </w:p>
        </w:tc>
        <w:tc>
          <w:tcPr>
            <w:tcW w:w="974" w:type="pct"/>
            <w:vAlign w:val="center"/>
          </w:tcPr>
          <w:p w14:paraId="0E605410">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投标人资格要求</w:t>
            </w:r>
          </w:p>
        </w:tc>
        <w:tc>
          <w:tcPr>
            <w:tcW w:w="3648" w:type="pct"/>
            <w:vAlign w:val="center"/>
          </w:tcPr>
          <w:p w14:paraId="41349965">
            <w:pPr>
              <w:spacing w:line="480" w:lineRule="exact"/>
              <w:ind w:firstLine="422" w:firstLineChars="20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1.满足《中华人民共和国政府采购法》第二十二条规定：</w:t>
            </w:r>
            <w:r>
              <w:rPr>
                <w:rFonts w:hint="eastAsia" w:ascii="仿宋" w:hAnsi="仿宋" w:eastAsia="仿宋" w:cs="仿宋"/>
                <w:color w:val="auto"/>
                <w:szCs w:val="21"/>
                <w:highlight w:val="none"/>
              </w:rPr>
              <w:t>（1）具有独立承担民事责任的能力；（2）具有良好的商业信誉和健全的财务会计制度；（3）具有履行合同所必需的设备和专业技术能力；（4）具有依法缴纳税收和社会保障资金的良好记录；（5）参加政府采购活动前三年内，在经营活动中没有重大违法记录；（6）法律、行政法规规定的其他条件。</w:t>
            </w:r>
          </w:p>
          <w:p w14:paraId="6AB5E6FB">
            <w:pPr>
              <w:spacing w:line="480" w:lineRule="exact"/>
              <w:ind w:firstLine="420"/>
              <w:rPr>
                <w:rFonts w:hint="eastAsia" w:ascii="仿宋" w:hAnsi="仿宋" w:eastAsia="仿宋" w:cs="仿宋"/>
                <w:color w:val="auto"/>
                <w:szCs w:val="21"/>
                <w:highlight w:val="none"/>
              </w:rPr>
            </w:pPr>
            <w:r>
              <w:rPr>
                <w:rFonts w:hint="eastAsia" w:ascii="仿宋" w:hAnsi="仿宋" w:eastAsia="仿宋" w:cs="仿宋"/>
                <w:b/>
                <w:bCs/>
                <w:color w:val="auto"/>
                <w:szCs w:val="21"/>
                <w:highlight w:val="none"/>
              </w:rPr>
              <w:t>2.落实政府采购政策需满足的资格要求：</w:t>
            </w:r>
            <w:r>
              <w:rPr>
                <w:rFonts w:hint="eastAsia" w:ascii="仿宋" w:hAnsi="仿宋" w:eastAsia="仿宋" w:cs="仿宋"/>
                <w:b w:val="0"/>
                <w:bCs w:val="0"/>
                <w:color w:val="auto"/>
                <w:szCs w:val="21"/>
                <w:highlight w:val="none"/>
                <w:lang w:val="en-US" w:eastAsia="zh-CN"/>
              </w:rPr>
              <w:t>无</w:t>
            </w:r>
            <w:r>
              <w:rPr>
                <w:rFonts w:hint="eastAsia" w:ascii="仿宋" w:hAnsi="仿宋" w:eastAsia="仿宋" w:cs="仿宋"/>
                <w:color w:val="auto"/>
                <w:szCs w:val="21"/>
                <w:highlight w:val="none"/>
              </w:rPr>
              <w:t>。</w:t>
            </w:r>
          </w:p>
          <w:p w14:paraId="4EDF0051">
            <w:pPr>
              <w:spacing w:line="480" w:lineRule="exact"/>
              <w:ind w:firstLine="422" w:firstLineChars="200"/>
              <w:rPr>
                <w:rFonts w:hint="eastAsia" w:ascii="仿宋" w:hAnsi="仿宋" w:eastAsia="仿宋" w:cs="仿宋"/>
                <w:b w:val="0"/>
                <w:bCs w:val="0"/>
                <w:color w:val="auto"/>
                <w:szCs w:val="21"/>
                <w:highlight w:val="none"/>
              </w:rPr>
            </w:pPr>
            <w:r>
              <w:rPr>
                <w:rFonts w:hint="eastAsia" w:ascii="仿宋" w:hAnsi="仿宋" w:eastAsia="仿宋" w:cs="仿宋"/>
                <w:b/>
                <w:bCs/>
                <w:color w:val="auto"/>
                <w:szCs w:val="21"/>
                <w:highlight w:val="none"/>
              </w:rPr>
              <w:t>3.本项目的特定资格要求：</w:t>
            </w:r>
            <w:r>
              <w:rPr>
                <w:rFonts w:hint="eastAsia" w:ascii="仿宋" w:hAnsi="仿宋" w:eastAsia="仿宋" w:cs="仿宋"/>
                <w:b w:val="0"/>
                <w:bCs w:val="0"/>
                <w:color w:val="auto"/>
                <w:szCs w:val="21"/>
                <w:highlight w:val="none"/>
                <w:lang w:val="en-US" w:eastAsia="zh-CN"/>
              </w:rPr>
              <w:t>无</w:t>
            </w:r>
            <w:r>
              <w:rPr>
                <w:rFonts w:hint="eastAsia" w:ascii="仿宋" w:hAnsi="仿宋" w:eastAsia="仿宋" w:cs="仿宋"/>
                <w:b w:val="0"/>
                <w:bCs w:val="0"/>
                <w:color w:val="auto"/>
                <w:szCs w:val="21"/>
                <w:highlight w:val="none"/>
              </w:rPr>
              <w:t>。</w:t>
            </w:r>
          </w:p>
          <w:p w14:paraId="19B8DBF8">
            <w:pPr>
              <w:pStyle w:val="20"/>
              <w:spacing w:line="360" w:lineRule="exact"/>
              <w:rPr>
                <w:rFonts w:ascii="仿宋" w:hAnsi="仿宋" w:eastAsia="仿宋" w:cs="仿宋"/>
                <w:color w:val="auto"/>
                <w:sz w:val="21"/>
                <w:szCs w:val="21"/>
              </w:rPr>
            </w:pPr>
          </w:p>
        </w:tc>
      </w:tr>
      <w:tr w14:paraId="6FDD3132">
        <w:trPr>
          <w:trHeight w:val="23" w:hRule="atLeast"/>
          <w:jc w:val="center"/>
        </w:trPr>
        <w:tc>
          <w:tcPr>
            <w:tcW w:w="377" w:type="pct"/>
            <w:vAlign w:val="center"/>
          </w:tcPr>
          <w:p w14:paraId="21CF54C6">
            <w:pPr>
              <w:pStyle w:val="20"/>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★4.2</w:t>
            </w:r>
          </w:p>
        </w:tc>
        <w:tc>
          <w:tcPr>
            <w:tcW w:w="974" w:type="pct"/>
            <w:vAlign w:val="center"/>
          </w:tcPr>
          <w:p w14:paraId="6A96F7F1">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spacing w:val="-11"/>
                <w:kern w:val="0"/>
                <w:szCs w:val="21"/>
              </w:rPr>
              <w:t>是否接受联合体比选</w:t>
            </w:r>
          </w:p>
        </w:tc>
        <w:tc>
          <w:tcPr>
            <w:tcW w:w="3648" w:type="pct"/>
            <w:vAlign w:val="center"/>
          </w:tcPr>
          <w:p w14:paraId="1B39801D">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不接受</w:t>
            </w:r>
          </w:p>
        </w:tc>
      </w:tr>
      <w:tr w14:paraId="6CF9DB63">
        <w:trPr>
          <w:trHeight w:val="23" w:hRule="atLeast"/>
          <w:jc w:val="center"/>
        </w:trPr>
        <w:tc>
          <w:tcPr>
            <w:tcW w:w="377" w:type="pct"/>
            <w:vAlign w:val="center"/>
          </w:tcPr>
          <w:p w14:paraId="2B46B9F9">
            <w:pPr>
              <w:pStyle w:val="20"/>
              <w:spacing w:line="32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.1</w:t>
            </w:r>
          </w:p>
        </w:tc>
        <w:tc>
          <w:tcPr>
            <w:tcW w:w="974" w:type="pct"/>
            <w:vAlign w:val="center"/>
          </w:tcPr>
          <w:p w14:paraId="209284A3">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投标人要求澄清比选文件的截止时间</w:t>
            </w:r>
          </w:p>
        </w:tc>
        <w:tc>
          <w:tcPr>
            <w:tcW w:w="3648" w:type="pct"/>
            <w:vAlign w:val="center"/>
          </w:tcPr>
          <w:p w14:paraId="70C31662">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比选截止时间1日前</w:t>
            </w:r>
          </w:p>
        </w:tc>
      </w:tr>
      <w:tr w14:paraId="5CBAD419">
        <w:trPr>
          <w:trHeight w:val="23" w:hRule="atLeast"/>
          <w:jc w:val="center"/>
        </w:trPr>
        <w:tc>
          <w:tcPr>
            <w:tcW w:w="377" w:type="pct"/>
            <w:vAlign w:val="center"/>
          </w:tcPr>
          <w:p w14:paraId="7CC40357">
            <w:pPr>
              <w:pStyle w:val="20"/>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1DB11BCD">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kern w:val="0"/>
                <w:szCs w:val="21"/>
              </w:rPr>
              <w:t>比选文件澄清联系方式</w:t>
            </w:r>
          </w:p>
        </w:tc>
        <w:tc>
          <w:tcPr>
            <w:tcW w:w="3648" w:type="pct"/>
            <w:vAlign w:val="center"/>
          </w:tcPr>
          <w:p w14:paraId="05B6C709">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澄清联系人：</w:t>
            </w:r>
            <w:r>
              <w:rPr>
                <w:rFonts w:hint="eastAsia" w:ascii="仿宋" w:hAnsi="仿宋" w:eastAsia="仿宋" w:cs="仿宋"/>
                <w:bCs/>
                <w:color w:val="auto"/>
                <w:szCs w:val="21"/>
                <w:lang w:val="en-US" w:eastAsia="zh-CN"/>
              </w:rPr>
              <w:t>梁</w:t>
            </w:r>
            <w:r>
              <w:rPr>
                <w:rFonts w:hint="eastAsia" w:ascii="仿宋" w:hAnsi="仿宋" w:eastAsia="仿宋" w:cs="仿宋"/>
                <w:bCs/>
                <w:color w:val="auto"/>
                <w:szCs w:val="21"/>
              </w:rPr>
              <w:t>老师</w:t>
            </w:r>
          </w:p>
          <w:p w14:paraId="78F05699">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bCs/>
                <w:color w:val="auto"/>
                <w:szCs w:val="21"/>
              </w:rPr>
              <w:t>电话：</w:t>
            </w:r>
            <w:r>
              <w:rPr>
                <w:rFonts w:hint="eastAsia" w:ascii="仿宋" w:hAnsi="仿宋" w:eastAsia="仿宋" w:cs="仿宋"/>
                <w:bCs/>
                <w:color w:val="auto"/>
                <w:szCs w:val="21"/>
                <w:lang w:val="en-US" w:eastAsia="zh-CN"/>
              </w:rPr>
              <w:t>0871-67217058</w:t>
            </w:r>
            <w:r>
              <w:rPr>
                <w:rFonts w:hint="eastAsia" w:ascii="仿宋" w:hAnsi="仿宋" w:eastAsia="仿宋" w:cs="仿宋"/>
                <w:bCs/>
                <w:color w:val="auto"/>
                <w:szCs w:val="21"/>
              </w:rPr>
              <w:t xml:space="preserve">    </w:t>
            </w:r>
          </w:p>
        </w:tc>
      </w:tr>
      <w:tr w14:paraId="51C9FD4B">
        <w:trPr>
          <w:trHeight w:val="23" w:hRule="atLeast"/>
          <w:jc w:val="center"/>
        </w:trPr>
        <w:tc>
          <w:tcPr>
            <w:tcW w:w="377" w:type="pct"/>
            <w:vAlign w:val="center"/>
          </w:tcPr>
          <w:p w14:paraId="5910FA7D">
            <w:pPr>
              <w:pStyle w:val="20"/>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6</w:t>
            </w:r>
            <w:r>
              <w:rPr>
                <w:rFonts w:hint="eastAsia" w:ascii="仿宋" w:hAnsi="仿宋" w:eastAsia="仿宋" w:cs="仿宋"/>
                <w:color w:val="auto"/>
                <w:sz w:val="21"/>
                <w:szCs w:val="21"/>
              </w:rPr>
              <w:t>.1</w:t>
            </w:r>
          </w:p>
        </w:tc>
        <w:tc>
          <w:tcPr>
            <w:tcW w:w="974" w:type="pct"/>
            <w:vAlign w:val="center"/>
          </w:tcPr>
          <w:p w14:paraId="3F15789D">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构成响应文件的其他资料</w:t>
            </w:r>
          </w:p>
        </w:tc>
        <w:tc>
          <w:tcPr>
            <w:tcW w:w="3648" w:type="pct"/>
            <w:vAlign w:val="center"/>
          </w:tcPr>
          <w:p w14:paraId="0A8117B0">
            <w:pPr>
              <w:pStyle w:val="20"/>
              <w:numPr>
                <w:ilvl w:val="0"/>
                <w:numId w:val="6"/>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澄清、承诺等</w:t>
            </w:r>
          </w:p>
          <w:p w14:paraId="786C75AF">
            <w:pPr>
              <w:pStyle w:val="20"/>
              <w:numPr>
                <w:ilvl w:val="0"/>
                <w:numId w:val="6"/>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投标人认为必须提供的其他相关资料。</w:t>
            </w:r>
          </w:p>
        </w:tc>
      </w:tr>
      <w:tr w14:paraId="02EA9C9D">
        <w:trPr>
          <w:trHeight w:val="90" w:hRule="atLeast"/>
          <w:jc w:val="center"/>
        </w:trPr>
        <w:tc>
          <w:tcPr>
            <w:tcW w:w="377" w:type="pct"/>
            <w:vAlign w:val="center"/>
          </w:tcPr>
          <w:p w14:paraId="04BD3E5B">
            <w:pPr>
              <w:pStyle w:val="20"/>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.1</w:t>
            </w:r>
          </w:p>
        </w:tc>
        <w:tc>
          <w:tcPr>
            <w:tcW w:w="974" w:type="pct"/>
            <w:vAlign w:val="center"/>
          </w:tcPr>
          <w:p w14:paraId="66054542">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有效期</w:t>
            </w:r>
          </w:p>
        </w:tc>
        <w:tc>
          <w:tcPr>
            <w:tcW w:w="3648" w:type="pct"/>
            <w:vAlign w:val="center"/>
          </w:tcPr>
          <w:p w14:paraId="002BC62A">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递交响应文件的截止日期后</w:t>
            </w:r>
            <w:r>
              <w:rPr>
                <w:rFonts w:hint="eastAsia" w:ascii="仿宋" w:hAnsi="仿宋" w:eastAsia="仿宋" w:cs="仿宋"/>
                <w:color w:val="auto"/>
                <w:sz w:val="21"/>
                <w:szCs w:val="21"/>
                <w:u w:val="single"/>
              </w:rPr>
              <w:t>90</w:t>
            </w:r>
            <w:r>
              <w:rPr>
                <w:rFonts w:hint="eastAsia" w:ascii="仿宋" w:hAnsi="仿宋" w:eastAsia="仿宋" w:cs="仿宋"/>
                <w:color w:val="auto"/>
                <w:sz w:val="21"/>
                <w:szCs w:val="21"/>
              </w:rPr>
              <w:t>天</w:t>
            </w:r>
          </w:p>
        </w:tc>
      </w:tr>
      <w:tr w14:paraId="382FF126">
        <w:trPr>
          <w:trHeight w:val="23" w:hRule="atLeast"/>
          <w:jc w:val="center"/>
        </w:trPr>
        <w:tc>
          <w:tcPr>
            <w:tcW w:w="377" w:type="pct"/>
            <w:vAlign w:val="center"/>
          </w:tcPr>
          <w:p w14:paraId="661D6208">
            <w:pPr>
              <w:pStyle w:val="20"/>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74D219F7">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响应文件副本份数</w:t>
            </w:r>
          </w:p>
        </w:tc>
        <w:tc>
          <w:tcPr>
            <w:tcW w:w="3648" w:type="pct"/>
            <w:vAlign w:val="center"/>
          </w:tcPr>
          <w:p w14:paraId="43D2C4E1">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lang w:val="en-US" w:eastAsia="zh-CN"/>
              </w:rPr>
              <w:t>1</w:t>
            </w:r>
            <w:r>
              <w:rPr>
                <w:rFonts w:hint="eastAsia" w:ascii="仿宋" w:hAnsi="仿宋" w:eastAsia="仿宋" w:cs="仿宋"/>
                <w:color w:val="auto"/>
                <w:sz w:val="21"/>
                <w:szCs w:val="21"/>
              </w:rPr>
              <w:t xml:space="preserve">份； </w:t>
            </w:r>
          </w:p>
        </w:tc>
      </w:tr>
      <w:tr w14:paraId="0AD7D713">
        <w:trPr>
          <w:trHeight w:val="23" w:hRule="atLeast"/>
          <w:jc w:val="center"/>
        </w:trPr>
        <w:tc>
          <w:tcPr>
            <w:tcW w:w="377" w:type="pct"/>
            <w:vAlign w:val="center"/>
          </w:tcPr>
          <w:p w14:paraId="374659A6">
            <w:pPr>
              <w:pStyle w:val="20"/>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8</w:t>
            </w:r>
            <w:r>
              <w:rPr>
                <w:rFonts w:hint="eastAsia" w:ascii="仿宋" w:hAnsi="仿宋" w:eastAsia="仿宋" w:cs="仿宋"/>
                <w:color w:val="auto"/>
                <w:sz w:val="21"/>
                <w:szCs w:val="21"/>
              </w:rPr>
              <w:t>.1</w:t>
            </w:r>
          </w:p>
        </w:tc>
        <w:tc>
          <w:tcPr>
            <w:tcW w:w="974" w:type="pct"/>
            <w:vAlign w:val="center"/>
          </w:tcPr>
          <w:p w14:paraId="6596046E">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比选保证金</w:t>
            </w:r>
          </w:p>
        </w:tc>
        <w:tc>
          <w:tcPr>
            <w:tcW w:w="3648" w:type="pct"/>
            <w:vAlign w:val="center"/>
          </w:tcPr>
          <w:p w14:paraId="2F66725B">
            <w:pPr>
              <w:spacing w:line="360" w:lineRule="exact"/>
              <w:rPr>
                <w:rFonts w:ascii="仿宋" w:hAnsi="仿宋" w:eastAsia="仿宋" w:cs="仿宋"/>
                <w:color w:val="auto"/>
                <w:szCs w:val="21"/>
              </w:rPr>
            </w:pPr>
            <w:r>
              <w:rPr>
                <w:rFonts w:hint="eastAsia" w:ascii="仿宋" w:hAnsi="仿宋" w:eastAsia="仿宋" w:cs="仿宋"/>
                <w:color w:val="auto"/>
                <w:szCs w:val="21"/>
              </w:rPr>
              <w:t>本项目不收取比选保证金</w:t>
            </w:r>
          </w:p>
        </w:tc>
      </w:tr>
      <w:tr w14:paraId="567166C0">
        <w:trPr>
          <w:trHeight w:val="718" w:hRule="atLeast"/>
          <w:jc w:val="center"/>
        </w:trPr>
        <w:tc>
          <w:tcPr>
            <w:tcW w:w="377" w:type="pct"/>
            <w:vAlign w:val="center"/>
          </w:tcPr>
          <w:p w14:paraId="0CB385E0">
            <w:pPr>
              <w:pStyle w:val="34"/>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9</w:t>
            </w:r>
            <w:r>
              <w:rPr>
                <w:rFonts w:hint="eastAsia" w:ascii="仿宋" w:hAnsi="仿宋" w:eastAsia="仿宋" w:cs="仿宋"/>
                <w:color w:val="auto"/>
                <w:sz w:val="21"/>
                <w:szCs w:val="21"/>
              </w:rPr>
              <w:t>.1</w:t>
            </w:r>
          </w:p>
        </w:tc>
        <w:tc>
          <w:tcPr>
            <w:tcW w:w="974" w:type="pct"/>
            <w:vAlign w:val="center"/>
          </w:tcPr>
          <w:p w14:paraId="1FBA3455">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响应文件的提交</w:t>
            </w:r>
          </w:p>
        </w:tc>
        <w:tc>
          <w:tcPr>
            <w:tcW w:w="3648" w:type="pct"/>
            <w:vAlign w:val="center"/>
          </w:tcPr>
          <w:p w14:paraId="61380BE6">
            <w:pPr>
              <w:pStyle w:val="20"/>
              <w:spacing w:line="360" w:lineRule="exact"/>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rPr>
              <w:t>正本1份，副本</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份</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电子版1份</w:t>
            </w:r>
          </w:p>
        </w:tc>
      </w:tr>
      <w:tr w14:paraId="72AFA299">
        <w:trPr>
          <w:trHeight w:val="23" w:hRule="atLeast"/>
          <w:jc w:val="center"/>
        </w:trPr>
        <w:tc>
          <w:tcPr>
            <w:tcW w:w="377" w:type="pct"/>
            <w:vAlign w:val="center"/>
          </w:tcPr>
          <w:p w14:paraId="7597C0E9">
            <w:pPr>
              <w:pStyle w:val="34"/>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.1</w:t>
            </w:r>
          </w:p>
        </w:tc>
        <w:tc>
          <w:tcPr>
            <w:tcW w:w="974" w:type="pct"/>
            <w:vAlign w:val="center"/>
          </w:tcPr>
          <w:p w14:paraId="4ED5F0CD">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递交响应文件的截止时间</w:t>
            </w:r>
          </w:p>
        </w:tc>
        <w:tc>
          <w:tcPr>
            <w:tcW w:w="3648" w:type="pct"/>
            <w:vAlign w:val="center"/>
          </w:tcPr>
          <w:p w14:paraId="6F7FADE3">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rPr>
              <w:t>202</w:t>
            </w:r>
            <w:r>
              <w:rPr>
                <w:rFonts w:hint="eastAsia" w:ascii="仿宋" w:hAnsi="仿宋" w:eastAsia="仿宋" w:cs="仿宋"/>
                <w:color w:val="auto"/>
                <w:sz w:val="21"/>
                <w:szCs w:val="21"/>
                <w:u w:val="single"/>
                <w:lang w:val="en-US" w:eastAsia="zh-CN"/>
              </w:rPr>
              <w:t>6</w:t>
            </w:r>
            <w:r>
              <w:rPr>
                <w:rFonts w:hint="eastAsia" w:ascii="仿宋" w:hAnsi="仿宋" w:eastAsia="仿宋" w:cs="仿宋"/>
                <w:color w:val="auto"/>
                <w:sz w:val="21"/>
                <w:szCs w:val="21"/>
                <w:u w:val="single"/>
              </w:rPr>
              <w:t>年</w:t>
            </w:r>
            <w:r>
              <w:rPr>
                <w:rFonts w:hint="eastAsia" w:ascii="仿宋" w:hAnsi="仿宋" w:eastAsia="仿宋" w:cs="仿宋"/>
                <w:color w:val="auto"/>
                <w:sz w:val="21"/>
                <w:szCs w:val="21"/>
                <w:u w:val="single"/>
                <w:lang w:val="en-US" w:eastAsia="zh-CN"/>
              </w:rPr>
              <w:t>5</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21</w:t>
            </w:r>
            <w:r>
              <w:rPr>
                <w:rFonts w:hint="eastAsia" w:ascii="仿宋" w:hAnsi="仿宋" w:eastAsia="仿宋" w:cs="仿宋"/>
                <w:color w:val="auto"/>
                <w:sz w:val="21"/>
                <w:szCs w:val="21"/>
                <w:u w:val="single"/>
              </w:rPr>
              <w:t>日</w:t>
            </w:r>
            <w:r>
              <w:rPr>
                <w:rFonts w:hint="eastAsia" w:ascii="仿宋" w:hAnsi="仿宋" w:eastAsia="仿宋" w:cs="仿宋"/>
                <w:color w:val="auto"/>
                <w:sz w:val="21"/>
                <w:szCs w:val="21"/>
                <w:u w:val="single"/>
                <w:lang w:val="en-US" w:eastAsia="zh-CN"/>
              </w:rPr>
              <w:t>09</w:t>
            </w:r>
            <w:r>
              <w:rPr>
                <w:rFonts w:hint="eastAsia" w:ascii="仿宋" w:hAnsi="仿宋" w:eastAsia="仿宋" w:cs="仿宋"/>
                <w:color w:val="auto"/>
                <w:sz w:val="21"/>
                <w:szCs w:val="21"/>
                <w:u w:val="single"/>
              </w:rPr>
              <w:t>点</w:t>
            </w:r>
            <w:r>
              <w:rPr>
                <w:rFonts w:hint="eastAsia" w:ascii="仿宋" w:hAnsi="仿宋" w:eastAsia="仿宋" w:cs="仿宋"/>
                <w:color w:val="auto"/>
                <w:sz w:val="21"/>
                <w:szCs w:val="21"/>
                <w:u w:val="single"/>
                <w:lang w:val="en-US" w:eastAsia="zh-CN"/>
              </w:rPr>
              <w:t>00</w:t>
            </w:r>
            <w:r>
              <w:rPr>
                <w:rFonts w:hint="eastAsia" w:ascii="仿宋" w:hAnsi="仿宋" w:eastAsia="仿宋" w:cs="仿宋"/>
                <w:color w:val="auto"/>
                <w:sz w:val="21"/>
                <w:szCs w:val="21"/>
                <w:u w:val="single"/>
              </w:rPr>
              <w:t>分</w:t>
            </w:r>
            <w:r>
              <w:rPr>
                <w:rFonts w:hint="eastAsia" w:ascii="仿宋" w:hAnsi="仿宋" w:eastAsia="仿宋" w:cs="仿宋"/>
                <w:color w:val="auto"/>
                <w:sz w:val="21"/>
                <w:szCs w:val="21"/>
              </w:rPr>
              <w:t>（北京时间）</w:t>
            </w:r>
          </w:p>
        </w:tc>
      </w:tr>
      <w:tr w14:paraId="46D5A0EF">
        <w:trPr>
          <w:trHeight w:val="734" w:hRule="atLeast"/>
          <w:jc w:val="center"/>
        </w:trPr>
        <w:tc>
          <w:tcPr>
            <w:tcW w:w="377" w:type="pct"/>
            <w:vAlign w:val="center"/>
          </w:tcPr>
          <w:p w14:paraId="2036E905">
            <w:pPr>
              <w:pStyle w:val="34"/>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.2</w:t>
            </w:r>
          </w:p>
        </w:tc>
        <w:tc>
          <w:tcPr>
            <w:tcW w:w="974" w:type="pct"/>
            <w:vAlign w:val="center"/>
          </w:tcPr>
          <w:p w14:paraId="521309A3">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递交响应文件地点</w:t>
            </w:r>
          </w:p>
        </w:tc>
        <w:tc>
          <w:tcPr>
            <w:tcW w:w="3648" w:type="pct"/>
            <w:vAlign w:val="center"/>
          </w:tcPr>
          <w:p w14:paraId="514BC338">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云南师范大学附属世纪金源学校（昆明市广福路3678号），逾期送达的或者未送达指定地点的响应文件，招标人不予受理</w:t>
            </w:r>
          </w:p>
        </w:tc>
      </w:tr>
      <w:tr w14:paraId="374FD984">
        <w:trPr>
          <w:trHeight w:val="395" w:hRule="atLeast"/>
          <w:jc w:val="center"/>
        </w:trPr>
        <w:tc>
          <w:tcPr>
            <w:tcW w:w="377" w:type="pct"/>
            <w:vAlign w:val="center"/>
          </w:tcPr>
          <w:p w14:paraId="7886A030">
            <w:pPr>
              <w:pStyle w:val="34"/>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.3</w:t>
            </w:r>
          </w:p>
        </w:tc>
        <w:tc>
          <w:tcPr>
            <w:tcW w:w="974" w:type="pct"/>
            <w:vAlign w:val="center"/>
          </w:tcPr>
          <w:p w14:paraId="2A0CDA9B">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是否退还响应文件</w:t>
            </w:r>
          </w:p>
        </w:tc>
        <w:tc>
          <w:tcPr>
            <w:tcW w:w="3648" w:type="pct"/>
            <w:vAlign w:val="center"/>
          </w:tcPr>
          <w:p w14:paraId="2187B9C3">
            <w:pPr>
              <w:pStyle w:val="20"/>
              <w:spacing w:line="360" w:lineRule="exact"/>
              <w:rPr>
                <w:rFonts w:ascii="仿宋" w:hAnsi="仿宋" w:eastAsia="仿宋" w:cs="仿宋"/>
                <w:color w:val="auto"/>
                <w:sz w:val="21"/>
                <w:szCs w:val="21"/>
              </w:rPr>
            </w:pPr>
            <w:r>
              <w:rPr>
                <w:rFonts w:hint="eastAsia" w:ascii="仿宋" w:hAnsi="仿宋" w:eastAsia="仿宋" w:cs="仿宋"/>
                <w:b/>
                <w:color w:val="auto"/>
                <w:sz w:val="21"/>
                <w:szCs w:val="21"/>
              </w:rPr>
              <w:fldChar w:fldCharType="begin"/>
            </w:r>
            <w:r>
              <w:rPr>
                <w:rFonts w:hint="eastAsia" w:ascii="仿宋" w:hAnsi="仿宋" w:eastAsia="仿宋" w:cs="仿宋"/>
                <w:b/>
                <w:color w:val="auto"/>
                <w:sz w:val="21"/>
                <w:szCs w:val="21"/>
              </w:rPr>
              <w:instrText xml:space="preserve"> EQ \o(□,√)</w:instrText>
            </w:r>
            <w:r>
              <w:rPr>
                <w:rFonts w:hint="eastAsia" w:ascii="仿宋" w:hAnsi="仿宋" w:eastAsia="仿宋" w:cs="仿宋"/>
                <w:b/>
                <w:color w:val="auto"/>
                <w:sz w:val="21"/>
                <w:szCs w:val="21"/>
              </w:rPr>
              <w:fldChar w:fldCharType="end"/>
            </w:r>
            <w:r>
              <w:rPr>
                <w:rFonts w:hint="eastAsia" w:ascii="仿宋" w:hAnsi="仿宋" w:eastAsia="仿宋" w:cs="仿宋"/>
                <w:b/>
                <w:color w:val="auto"/>
                <w:sz w:val="21"/>
                <w:szCs w:val="21"/>
              </w:rPr>
              <w:t>否</w:t>
            </w:r>
          </w:p>
        </w:tc>
      </w:tr>
      <w:tr w14:paraId="7D992836">
        <w:trPr>
          <w:trHeight w:val="23" w:hRule="atLeast"/>
          <w:jc w:val="center"/>
        </w:trPr>
        <w:tc>
          <w:tcPr>
            <w:tcW w:w="377" w:type="pct"/>
            <w:vAlign w:val="center"/>
          </w:tcPr>
          <w:p w14:paraId="3586FB64">
            <w:pPr>
              <w:pStyle w:val="20"/>
              <w:spacing w:line="360" w:lineRule="exact"/>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1.1</w:t>
            </w:r>
          </w:p>
        </w:tc>
        <w:tc>
          <w:tcPr>
            <w:tcW w:w="974" w:type="pct"/>
            <w:vAlign w:val="center"/>
          </w:tcPr>
          <w:p w14:paraId="5BF484F9">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比选时间和地点</w:t>
            </w:r>
          </w:p>
        </w:tc>
        <w:tc>
          <w:tcPr>
            <w:tcW w:w="3648" w:type="pct"/>
            <w:vAlign w:val="center"/>
          </w:tcPr>
          <w:p w14:paraId="5D431509">
            <w:pPr>
              <w:pStyle w:val="20"/>
              <w:spacing w:line="360" w:lineRule="exact"/>
              <w:jc w:val="both"/>
              <w:rPr>
                <w:rFonts w:ascii="仿宋" w:hAnsi="仿宋" w:eastAsia="仿宋" w:cs="仿宋"/>
                <w:color w:val="auto"/>
                <w:sz w:val="21"/>
                <w:szCs w:val="21"/>
              </w:rPr>
            </w:pPr>
            <w:r>
              <w:rPr>
                <w:rFonts w:hint="eastAsia" w:ascii="仿宋" w:hAnsi="仿宋" w:eastAsia="仿宋" w:cs="仿宋"/>
                <w:color w:val="auto"/>
                <w:sz w:val="21"/>
                <w:szCs w:val="21"/>
              </w:rPr>
              <w:t>比选时间：</w:t>
            </w:r>
            <w:r>
              <w:rPr>
                <w:rFonts w:hint="eastAsia" w:ascii="仿宋" w:hAnsi="仿宋" w:eastAsia="仿宋" w:cs="仿宋"/>
                <w:color w:val="auto"/>
                <w:sz w:val="21"/>
                <w:szCs w:val="21"/>
                <w:u w:val="single"/>
              </w:rPr>
              <w:t>202</w:t>
            </w:r>
            <w:r>
              <w:rPr>
                <w:rFonts w:hint="eastAsia" w:ascii="仿宋" w:hAnsi="仿宋" w:eastAsia="仿宋" w:cs="仿宋"/>
                <w:color w:val="auto"/>
                <w:sz w:val="21"/>
                <w:szCs w:val="21"/>
                <w:u w:val="single"/>
                <w:lang w:val="en-US" w:eastAsia="zh-CN"/>
              </w:rPr>
              <w:t>6</w:t>
            </w:r>
            <w:r>
              <w:rPr>
                <w:rFonts w:hint="eastAsia" w:ascii="仿宋" w:hAnsi="仿宋" w:eastAsia="仿宋" w:cs="仿宋"/>
                <w:color w:val="auto"/>
                <w:sz w:val="21"/>
                <w:szCs w:val="21"/>
                <w:u w:val="single"/>
              </w:rPr>
              <w:t>年</w:t>
            </w:r>
            <w:r>
              <w:rPr>
                <w:rFonts w:hint="eastAsia" w:ascii="仿宋" w:hAnsi="仿宋" w:eastAsia="仿宋" w:cs="仿宋"/>
                <w:color w:val="auto"/>
                <w:sz w:val="21"/>
                <w:szCs w:val="21"/>
                <w:u w:val="single"/>
                <w:lang w:val="en-US" w:eastAsia="zh-CN"/>
              </w:rPr>
              <w:t>5</w:t>
            </w:r>
            <w:r>
              <w:rPr>
                <w:rFonts w:hint="eastAsia" w:ascii="仿宋" w:hAnsi="仿宋" w:eastAsia="仿宋" w:cs="仿宋"/>
                <w:color w:val="auto"/>
                <w:sz w:val="21"/>
                <w:szCs w:val="21"/>
                <w:u w:val="single"/>
              </w:rPr>
              <w:t>月</w:t>
            </w:r>
            <w:r>
              <w:rPr>
                <w:rFonts w:hint="eastAsia" w:ascii="仿宋" w:hAnsi="仿宋" w:eastAsia="仿宋" w:cs="仿宋"/>
                <w:color w:val="auto"/>
                <w:sz w:val="21"/>
                <w:szCs w:val="21"/>
                <w:u w:val="single"/>
                <w:lang w:val="en-US" w:eastAsia="zh-CN"/>
              </w:rPr>
              <w:t>21</w:t>
            </w:r>
            <w:r>
              <w:rPr>
                <w:rFonts w:hint="eastAsia" w:ascii="仿宋" w:hAnsi="仿宋" w:eastAsia="仿宋" w:cs="仿宋"/>
                <w:color w:val="auto"/>
                <w:sz w:val="21"/>
                <w:szCs w:val="21"/>
                <w:u w:val="single"/>
              </w:rPr>
              <w:t>日</w:t>
            </w:r>
            <w:r>
              <w:rPr>
                <w:rFonts w:hint="eastAsia" w:ascii="仿宋" w:hAnsi="仿宋" w:eastAsia="仿宋" w:cs="仿宋"/>
                <w:color w:val="auto"/>
                <w:sz w:val="21"/>
                <w:szCs w:val="21"/>
                <w:u w:val="single"/>
                <w:lang w:val="en-US" w:eastAsia="zh-CN"/>
              </w:rPr>
              <w:t>09</w:t>
            </w:r>
            <w:r>
              <w:rPr>
                <w:rFonts w:hint="eastAsia" w:ascii="仿宋" w:hAnsi="仿宋" w:eastAsia="仿宋" w:cs="仿宋"/>
                <w:color w:val="auto"/>
                <w:sz w:val="21"/>
                <w:szCs w:val="21"/>
                <w:u w:val="single"/>
              </w:rPr>
              <w:t>点</w:t>
            </w:r>
            <w:r>
              <w:rPr>
                <w:rFonts w:hint="eastAsia" w:ascii="仿宋" w:hAnsi="仿宋" w:eastAsia="仿宋" w:cs="仿宋"/>
                <w:color w:val="auto"/>
                <w:sz w:val="21"/>
                <w:szCs w:val="21"/>
                <w:u w:val="single"/>
                <w:lang w:val="en-US" w:eastAsia="zh-CN"/>
              </w:rPr>
              <w:t>00</w:t>
            </w:r>
            <w:r>
              <w:rPr>
                <w:rFonts w:hint="eastAsia" w:ascii="仿宋" w:hAnsi="仿宋" w:eastAsia="仿宋" w:cs="仿宋"/>
                <w:color w:val="auto"/>
                <w:sz w:val="21"/>
                <w:szCs w:val="21"/>
                <w:u w:val="single"/>
              </w:rPr>
              <w:t>分</w:t>
            </w:r>
            <w:r>
              <w:rPr>
                <w:rFonts w:hint="eastAsia" w:ascii="仿宋" w:hAnsi="仿宋" w:eastAsia="仿宋" w:cs="仿宋"/>
                <w:color w:val="auto"/>
                <w:sz w:val="21"/>
                <w:szCs w:val="21"/>
              </w:rPr>
              <w:t>（北京时间）</w:t>
            </w:r>
          </w:p>
          <w:p w14:paraId="6B294398">
            <w:pPr>
              <w:pStyle w:val="20"/>
              <w:spacing w:line="360" w:lineRule="exact"/>
              <w:rPr>
                <w:rFonts w:ascii="仿宋" w:hAnsi="仿宋" w:eastAsia="仿宋" w:cs="仿宋"/>
                <w:color w:val="auto"/>
                <w:sz w:val="21"/>
                <w:szCs w:val="21"/>
                <w:u w:val="single"/>
              </w:rPr>
            </w:pPr>
            <w:r>
              <w:rPr>
                <w:rFonts w:hint="eastAsia" w:ascii="仿宋" w:hAnsi="仿宋" w:eastAsia="仿宋" w:cs="仿宋"/>
                <w:color w:val="auto"/>
                <w:sz w:val="21"/>
                <w:szCs w:val="21"/>
              </w:rPr>
              <w:t>比选地点：云南师范大学附属世纪金源学校（昆明市广福路3678号）</w:t>
            </w:r>
          </w:p>
        </w:tc>
      </w:tr>
      <w:tr w14:paraId="2D0EBA14">
        <w:trPr>
          <w:trHeight w:val="23" w:hRule="atLeast"/>
          <w:jc w:val="center"/>
        </w:trPr>
        <w:tc>
          <w:tcPr>
            <w:tcW w:w="377" w:type="pct"/>
            <w:vAlign w:val="center"/>
          </w:tcPr>
          <w:p w14:paraId="19D6F6D8">
            <w:pPr>
              <w:pStyle w:val="20"/>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.1</w:t>
            </w:r>
          </w:p>
        </w:tc>
        <w:tc>
          <w:tcPr>
            <w:tcW w:w="974" w:type="pct"/>
            <w:vAlign w:val="center"/>
          </w:tcPr>
          <w:p w14:paraId="2130DBF9">
            <w:pPr>
              <w:pStyle w:val="20"/>
              <w:spacing w:line="360" w:lineRule="exact"/>
              <w:rPr>
                <w:rFonts w:ascii="仿宋" w:hAnsi="仿宋" w:eastAsia="仿宋" w:cs="仿宋"/>
                <w:color w:val="auto"/>
                <w:sz w:val="21"/>
                <w:szCs w:val="21"/>
              </w:rPr>
            </w:pPr>
            <w:r>
              <w:rPr>
                <w:rFonts w:hint="eastAsia" w:ascii="仿宋" w:hAnsi="仿宋" w:eastAsia="仿宋" w:cs="仿宋"/>
                <w:bCs/>
                <w:color w:val="auto"/>
                <w:sz w:val="21"/>
                <w:szCs w:val="21"/>
              </w:rPr>
              <w:t>履约保证金</w:t>
            </w:r>
            <w:r>
              <w:rPr>
                <w:rFonts w:hint="eastAsia" w:ascii="仿宋" w:hAnsi="仿宋" w:eastAsia="仿宋" w:cs="仿宋"/>
                <w:color w:val="auto"/>
                <w:sz w:val="21"/>
                <w:szCs w:val="21"/>
              </w:rPr>
              <w:t>金额</w:t>
            </w:r>
          </w:p>
        </w:tc>
        <w:tc>
          <w:tcPr>
            <w:tcW w:w="3648" w:type="pct"/>
            <w:vAlign w:val="center"/>
          </w:tcPr>
          <w:p w14:paraId="2797CF56">
            <w:pPr>
              <w:pStyle w:val="20"/>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5C6F4654">
        <w:trPr>
          <w:trHeight w:val="90" w:hRule="atLeast"/>
          <w:jc w:val="center"/>
        </w:trPr>
        <w:tc>
          <w:tcPr>
            <w:tcW w:w="377" w:type="pct"/>
            <w:vAlign w:val="center"/>
          </w:tcPr>
          <w:p w14:paraId="329EE118">
            <w:pPr>
              <w:pStyle w:val="20"/>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03056E99">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履约保证金退还时间</w:t>
            </w:r>
          </w:p>
        </w:tc>
        <w:tc>
          <w:tcPr>
            <w:tcW w:w="3648" w:type="pct"/>
            <w:vAlign w:val="center"/>
          </w:tcPr>
          <w:p w14:paraId="100AFBE8">
            <w:pPr>
              <w:pStyle w:val="20"/>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2FFD2926">
        <w:trPr>
          <w:trHeight w:val="23" w:hRule="atLeast"/>
          <w:jc w:val="center"/>
        </w:trPr>
        <w:tc>
          <w:tcPr>
            <w:tcW w:w="377" w:type="pct"/>
            <w:vAlign w:val="center"/>
          </w:tcPr>
          <w:p w14:paraId="72A5BA70">
            <w:pPr>
              <w:pStyle w:val="20"/>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13</w:t>
            </w:r>
            <w:r>
              <w:rPr>
                <w:rFonts w:hint="eastAsia" w:ascii="仿宋" w:hAnsi="仿宋" w:eastAsia="仿宋" w:cs="仿宋"/>
                <w:color w:val="auto"/>
                <w:sz w:val="21"/>
                <w:szCs w:val="21"/>
              </w:rPr>
              <w:t>.1</w:t>
            </w:r>
          </w:p>
        </w:tc>
        <w:tc>
          <w:tcPr>
            <w:tcW w:w="4622" w:type="pct"/>
            <w:gridSpan w:val="2"/>
            <w:vAlign w:val="center"/>
          </w:tcPr>
          <w:p w14:paraId="01D74398">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需要补充的其他内容</w:t>
            </w:r>
          </w:p>
        </w:tc>
      </w:tr>
      <w:tr w14:paraId="26101217">
        <w:trPr>
          <w:trHeight w:val="23" w:hRule="atLeast"/>
          <w:jc w:val="center"/>
        </w:trPr>
        <w:tc>
          <w:tcPr>
            <w:tcW w:w="377" w:type="pct"/>
            <w:vAlign w:val="center"/>
          </w:tcPr>
          <w:p w14:paraId="38877644">
            <w:pPr>
              <w:pStyle w:val="20"/>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1</w:t>
            </w:r>
            <w:r>
              <w:rPr>
                <w:rFonts w:hint="eastAsia" w:ascii="仿宋" w:hAnsi="仿宋" w:eastAsia="仿宋" w:cs="仿宋"/>
                <w:color w:val="auto"/>
                <w:sz w:val="21"/>
                <w:szCs w:val="21"/>
                <w:lang w:eastAsia="zh-CN"/>
              </w:rPr>
              <w:t>)</w:t>
            </w:r>
          </w:p>
        </w:tc>
        <w:tc>
          <w:tcPr>
            <w:tcW w:w="4622" w:type="pct"/>
            <w:gridSpan w:val="2"/>
            <w:vAlign w:val="center"/>
          </w:tcPr>
          <w:p w14:paraId="6789B0AF">
            <w:pPr>
              <w:pStyle w:val="20"/>
              <w:spacing w:line="360" w:lineRule="exact"/>
              <w:rPr>
                <w:rFonts w:ascii="仿宋" w:hAnsi="仿宋" w:eastAsia="仿宋" w:cs="仿宋"/>
                <w:color w:val="auto"/>
                <w:sz w:val="21"/>
                <w:szCs w:val="21"/>
              </w:rPr>
            </w:pPr>
            <w:r>
              <w:rPr>
                <w:rFonts w:hint="eastAsia" w:ascii="仿宋" w:hAnsi="仿宋" w:eastAsia="仿宋" w:cs="仿宋"/>
                <w:color w:val="auto"/>
                <w:sz w:val="21"/>
                <w:szCs w:val="21"/>
              </w:rPr>
              <w:t>★参与本项目开标人员须为投标单位法定代表人或响应文件中的法定代表人授权委托人。</w:t>
            </w:r>
          </w:p>
        </w:tc>
      </w:tr>
    </w:tbl>
    <w:p w14:paraId="28E77D7A">
      <w:pPr>
        <w:tabs>
          <w:tab w:val="left" w:pos="1021"/>
        </w:tabs>
        <w:rPr>
          <w:rFonts w:ascii="仿宋" w:hAnsi="仿宋" w:eastAsia="仿宋" w:cs="仿宋"/>
          <w:color w:val="auto"/>
          <w:szCs w:val="28"/>
        </w:rPr>
      </w:pPr>
    </w:p>
    <w:p w14:paraId="1B0AA07F">
      <w:pPr>
        <w:pStyle w:val="8"/>
        <w:numPr>
          <w:ilvl w:val="0"/>
          <w:numId w:val="0"/>
        </w:numPr>
        <w:spacing w:before="0" w:line="240" w:lineRule="auto"/>
        <w:ind w:left="425"/>
        <w:rPr>
          <w:rFonts w:ascii="仿宋" w:hAnsi="仿宋" w:eastAsia="仿宋" w:cs="仿宋"/>
          <w:color w:val="auto"/>
          <w:szCs w:val="28"/>
        </w:rPr>
      </w:pPr>
      <w:bookmarkStart w:id="28" w:name="_Toc18800"/>
      <w:bookmarkEnd w:id="28"/>
      <w:bookmarkStart w:id="29" w:name="_Toc14987"/>
      <w:bookmarkEnd w:id="29"/>
      <w:bookmarkStart w:id="30" w:name="_Toc31449"/>
      <w:bookmarkEnd w:id="30"/>
      <w:bookmarkStart w:id="31" w:name="_Toc24440"/>
      <w:bookmarkEnd w:id="31"/>
      <w:bookmarkStart w:id="32" w:name="_Toc19318"/>
      <w:bookmarkEnd w:id="32"/>
      <w:bookmarkStart w:id="33" w:name="_Toc15323"/>
      <w:bookmarkEnd w:id="33"/>
      <w:bookmarkStart w:id="34" w:name="_Toc14609"/>
      <w:bookmarkEnd w:id="34"/>
      <w:r>
        <w:rPr>
          <w:rFonts w:hint="eastAsia" w:ascii="仿宋" w:hAnsi="仿宋" w:eastAsia="仿宋" w:cs="仿宋"/>
          <w:color w:val="auto"/>
          <w:szCs w:val="28"/>
        </w:rPr>
        <w:br w:type="page"/>
      </w:r>
      <w:r>
        <w:rPr>
          <w:rFonts w:hint="eastAsia" w:ascii="仿宋" w:hAnsi="仿宋" w:eastAsia="仿宋" w:cs="仿宋"/>
          <w:color w:val="auto"/>
          <w:szCs w:val="28"/>
        </w:rPr>
        <w:t>一、总  则</w:t>
      </w:r>
    </w:p>
    <w:p w14:paraId="5A892F49">
      <w:pPr>
        <w:pStyle w:val="9"/>
        <w:numPr>
          <w:ilvl w:val="0"/>
          <w:numId w:val="7"/>
        </w:numPr>
        <w:spacing w:before="0" w:after="0" w:line="460" w:lineRule="exact"/>
        <w:ind w:left="587"/>
        <w:jc w:val="both"/>
        <w:rPr>
          <w:rFonts w:ascii="仿宋" w:hAnsi="仿宋" w:eastAsia="仿宋" w:cs="仿宋"/>
          <w:color w:val="auto"/>
          <w:szCs w:val="24"/>
        </w:rPr>
      </w:pPr>
      <w:bookmarkStart w:id="35" w:name="_Toc20891"/>
      <w:bookmarkEnd w:id="35"/>
      <w:bookmarkStart w:id="36" w:name="_Toc32506"/>
      <w:bookmarkEnd w:id="36"/>
      <w:bookmarkStart w:id="37" w:name="_Toc3235"/>
      <w:bookmarkEnd w:id="37"/>
      <w:bookmarkStart w:id="38" w:name="_Toc18421"/>
      <w:bookmarkEnd w:id="38"/>
      <w:bookmarkStart w:id="39" w:name="_Toc5928"/>
      <w:bookmarkEnd w:id="39"/>
      <w:bookmarkStart w:id="40" w:name="_Toc22610"/>
      <w:bookmarkEnd w:id="40"/>
      <w:bookmarkStart w:id="41" w:name="_Toc11234"/>
      <w:bookmarkEnd w:id="41"/>
      <w:bookmarkStart w:id="42" w:name="_Toc27201"/>
      <w:bookmarkEnd w:id="42"/>
      <w:bookmarkStart w:id="43" w:name="_Toc6115"/>
      <w:bookmarkEnd w:id="43"/>
      <w:r>
        <w:rPr>
          <w:rFonts w:hint="eastAsia" w:ascii="仿宋" w:hAnsi="仿宋" w:eastAsia="仿宋" w:cs="仿宋"/>
          <w:color w:val="auto"/>
          <w:szCs w:val="24"/>
        </w:rPr>
        <w:t>项目概况</w:t>
      </w:r>
    </w:p>
    <w:p w14:paraId="01023C3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1.1 根据有关法律、法规和规章的规定，本项目已具备招标条件，现对本项目采用比选方式进行择优选择</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商。</w:t>
      </w:r>
    </w:p>
    <w:p w14:paraId="3C16717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1.2 本项目招标人、项目名称及项目编号：见“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5BD07CFE">
      <w:pPr>
        <w:pStyle w:val="9"/>
        <w:numPr>
          <w:ilvl w:val="0"/>
          <w:numId w:val="7"/>
        </w:numPr>
        <w:spacing w:before="0" w:after="0" w:line="460" w:lineRule="exact"/>
        <w:ind w:left="587"/>
        <w:jc w:val="both"/>
        <w:rPr>
          <w:rFonts w:ascii="仿宋" w:hAnsi="仿宋" w:eastAsia="仿宋" w:cs="仿宋"/>
          <w:color w:val="auto"/>
          <w:szCs w:val="24"/>
        </w:rPr>
      </w:pPr>
      <w:bookmarkStart w:id="44" w:name="_Toc8805"/>
      <w:bookmarkEnd w:id="44"/>
      <w:bookmarkStart w:id="45" w:name="_Toc21529"/>
      <w:bookmarkEnd w:id="45"/>
      <w:bookmarkStart w:id="46" w:name="_Toc5033"/>
      <w:bookmarkEnd w:id="46"/>
      <w:bookmarkStart w:id="47" w:name="_Toc25493"/>
      <w:bookmarkEnd w:id="47"/>
      <w:bookmarkStart w:id="48" w:name="_Toc1547"/>
      <w:bookmarkEnd w:id="48"/>
      <w:bookmarkStart w:id="49" w:name="_Toc5558"/>
      <w:bookmarkEnd w:id="49"/>
      <w:bookmarkStart w:id="50" w:name="_Toc10123"/>
      <w:bookmarkEnd w:id="50"/>
      <w:bookmarkStart w:id="51" w:name="_Toc25999"/>
      <w:bookmarkEnd w:id="51"/>
      <w:bookmarkStart w:id="52" w:name="_Toc7766"/>
      <w:bookmarkEnd w:id="52"/>
      <w:r>
        <w:rPr>
          <w:rFonts w:hint="eastAsia" w:ascii="仿宋" w:hAnsi="仿宋" w:eastAsia="仿宋" w:cs="仿宋"/>
          <w:color w:val="auto"/>
          <w:szCs w:val="24"/>
        </w:rPr>
        <w:t>资金来源</w:t>
      </w:r>
      <w:r>
        <w:rPr>
          <w:rFonts w:hint="eastAsia" w:ascii="仿宋" w:hAnsi="仿宋" w:eastAsia="仿宋" w:cs="仿宋"/>
          <w:color w:val="auto"/>
          <w:szCs w:val="24"/>
        </w:rPr>
        <w:tab/>
      </w:r>
    </w:p>
    <w:p w14:paraId="5446F978">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”中所述的招标人已获得一笔资金，用于采购“</w:t>
      </w:r>
      <w:r>
        <w:rPr>
          <w:rFonts w:hint="eastAsia" w:ascii="仿宋" w:hAnsi="仿宋" w:eastAsia="仿宋" w:cs="仿宋"/>
          <w:b/>
          <w:bCs/>
          <w:color w:val="auto"/>
          <w:szCs w:val="21"/>
        </w:rPr>
        <w:t>项目需求</w:t>
      </w:r>
      <w:r>
        <w:rPr>
          <w:rFonts w:hint="eastAsia" w:ascii="仿宋" w:hAnsi="仿宋" w:eastAsia="仿宋" w:cs="仿宋"/>
          <w:color w:val="auto"/>
          <w:szCs w:val="21"/>
        </w:rPr>
        <w:t>”中所列产品，项目预算金额见“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05D758EB">
      <w:pPr>
        <w:pStyle w:val="9"/>
        <w:numPr>
          <w:ilvl w:val="0"/>
          <w:numId w:val="7"/>
        </w:numPr>
        <w:spacing w:before="0" w:after="0" w:line="460" w:lineRule="exact"/>
        <w:ind w:left="587"/>
        <w:jc w:val="both"/>
        <w:rPr>
          <w:rFonts w:ascii="仿宋" w:hAnsi="仿宋" w:eastAsia="仿宋" w:cs="仿宋"/>
          <w:color w:val="auto"/>
          <w:szCs w:val="24"/>
        </w:rPr>
      </w:pPr>
      <w:bookmarkStart w:id="53" w:name="_Toc12401"/>
      <w:bookmarkEnd w:id="53"/>
      <w:bookmarkStart w:id="54" w:name="_Toc2465"/>
      <w:bookmarkEnd w:id="54"/>
      <w:bookmarkStart w:id="55" w:name="_Toc30047"/>
      <w:bookmarkEnd w:id="55"/>
      <w:bookmarkStart w:id="56" w:name="_Toc18480"/>
      <w:bookmarkEnd w:id="56"/>
      <w:bookmarkStart w:id="57" w:name="_Toc12233"/>
      <w:bookmarkEnd w:id="57"/>
      <w:bookmarkStart w:id="58" w:name="_Toc25155"/>
      <w:bookmarkEnd w:id="58"/>
      <w:bookmarkStart w:id="59" w:name="_Toc15604"/>
      <w:bookmarkEnd w:id="59"/>
      <w:bookmarkStart w:id="60" w:name="_Toc28231"/>
      <w:bookmarkEnd w:id="60"/>
      <w:bookmarkStart w:id="61" w:name="_Toc32657"/>
      <w:bookmarkEnd w:id="61"/>
      <w:r>
        <w:rPr>
          <w:rFonts w:hint="eastAsia" w:ascii="仿宋" w:hAnsi="仿宋" w:eastAsia="仿宋" w:cs="仿宋"/>
          <w:color w:val="auto"/>
          <w:szCs w:val="24"/>
        </w:rPr>
        <w:t>招标范围及合同履行期限</w:t>
      </w:r>
    </w:p>
    <w:p w14:paraId="5088D5D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3.1 本项目招标内容：见“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4FB687B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3.2 本项目服务期：见</w:t>
      </w:r>
      <w:r>
        <w:rPr>
          <w:rFonts w:hint="eastAsia" w:ascii="仿宋" w:hAnsi="仿宋" w:eastAsia="仿宋" w:cs="仿宋"/>
          <w:b/>
          <w:color w:val="auto"/>
          <w:szCs w:val="21"/>
        </w:rPr>
        <w:t>“投标人须知前附表”</w:t>
      </w:r>
      <w:r>
        <w:rPr>
          <w:rFonts w:hint="eastAsia" w:ascii="仿宋" w:hAnsi="仿宋" w:eastAsia="仿宋" w:cs="仿宋"/>
          <w:color w:val="auto"/>
          <w:szCs w:val="21"/>
        </w:rPr>
        <w:t>。</w:t>
      </w:r>
    </w:p>
    <w:p w14:paraId="74E9501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3.3 本项目交货地点：见“投标人须知前附表”。</w:t>
      </w:r>
    </w:p>
    <w:p w14:paraId="7A4134B0">
      <w:pPr>
        <w:pStyle w:val="9"/>
        <w:numPr>
          <w:ilvl w:val="0"/>
          <w:numId w:val="7"/>
        </w:numPr>
        <w:spacing w:before="0" w:after="0" w:line="460" w:lineRule="exact"/>
        <w:jc w:val="both"/>
        <w:rPr>
          <w:rFonts w:ascii="仿宋" w:hAnsi="仿宋" w:eastAsia="仿宋" w:cs="仿宋"/>
          <w:color w:val="auto"/>
          <w:szCs w:val="24"/>
        </w:rPr>
      </w:pPr>
      <w:bookmarkStart w:id="62" w:name="_Toc28788"/>
      <w:bookmarkEnd w:id="62"/>
      <w:bookmarkStart w:id="63" w:name="_Toc18248"/>
      <w:bookmarkEnd w:id="63"/>
      <w:bookmarkStart w:id="64" w:name="_Toc21674"/>
      <w:bookmarkEnd w:id="64"/>
      <w:bookmarkStart w:id="65" w:name="_Toc10919"/>
      <w:bookmarkEnd w:id="65"/>
      <w:bookmarkStart w:id="66" w:name="_Toc23981"/>
      <w:bookmarkEnd w:id="66"/>
      <w:bookmarkStart w:id="67" w:name="_Toc24632"/>
      <w:bookmarkEnd w:id="67"/>
      <w:bookmarkStart w:id="68" w:name="_Toc27378"/>
      <w:bookmarkEnd w:id="68"/>
      <w:bookmarkStart w:id="69" w:name="_Toc16043"/>
      <w:bookmarkEnd w:id="69"/>
      <w:bookmarkStart w:id="70" w:name="_Toc17498"/>
      <w:bookmarkEnd w:id="70"/>
      <w:r>
        <w:rPr>
          <w:rFonts w:hint="eastAsia" w:ascii="仿宋" w:hAnsi="仿宋" w:eastAsia="仿宋" w:cs="仿宋"/>
          <w:color w:val="auto"/>
          <w:szCs w:val="24"/>
        </w:rPr>
        <w:t>★合格的投标人（以下简称投标人）</w:t>
      </w:r>
    </w:p>
    <w:p w14:paraId="4D64C4E0">
      <w:pPr>
        <w:autoSpaceDN w:val="0"/>
        <w:spacing w:line="460" w:lineRule="exact"/>
        <w:ind w:firstLine="420" w:firstLineChars="200"/>
        <w:rPr>
          <w:rFonts w:ascii="仿宋" w:hAnsi="仿宋" w:eastAsia="仿宋" w:cs="仿宋"/>
          <w:bCs/>
          <w:color w:val="auto"/>
          <w:szCs w:val="21"/>
        </w:rPr>
      </w:pPr>
      <w:r>
        <w:rPr>
          <w:rFonts w:hint="eastAsia" w:ascii="仿宋" w:hAnsi="仿宋" w:eastAsia="仿宋" w:cs="仿宋"/>
          <w:bCs/>
          <w:color w:val="auto"/>
          <w:szCs w:val="21"/>
        </w:rPr>
        <w:t>4.1 投标人资格要求：</w:t>
      </w:r>
      <w:r>
        <w:rPr>
          <w:rFonts w:hint="eastAsia" w:ascii="仿宋" w:hAnsi="仿宋" w:eastAsia="仿宋" w:cs="仿宋"/>
          <w:color w:val="auto"/>
          <w:szCs w:val="21"/>
        </w:rPr>
        <w:t>见</w:t>
      </w:r>
      <w:r>
        <w:rPr>
          <w:rFonts w:hint="eastAsia" w:ascii="仿宋" w:hAnsi="仿宋" w:eastAsia="仿宋" w:cs="仿宋"/>
          <w:b/>
          <w:color w:val="auto"/>
          <w:szCs w:val="21"/>
        </w:rPr>
        <w:t>“投标人须知前附表”</w:t>
      </w:r>
      <w:r>
        <w:rPr>
          <w:rFonts w:hint="eastAsia" w:ascii="仿宋" w:hAnsi="仿宋" w:eastAsia="仿宋" w:cs="仿宋"/>
          <w:bCs/>
          <w:color w:val="auto"/>
          <w:szCs w:val="21"/>
        </w:rPr>
        <w:t>。</w:t>
      </w:r>
    </w:p>
    <w:p w14:paraId="4DA80C3F">
      <w:pPr>
        <w:pStyle w:val="3"/>
        <w:spacing w:line="460" w:lineRule="exact"/>
        <w:ind w:firstLine="422" w:firstLineChars="201"/>
        <w:jc w:val="both"/>
        <w:rPr>
          <w:rFonts w:ascii="仿宋" w:hAnsi="仿宋" w:eastAsia="仿宋" w:cs="仿宋"/>
          <w:bCs/>
          <w:color w:val="auto"/>
          <w:sz w:val="21"/>
          <w:szCs w:val="21"/>
        </w:rPr>
      </w:pPr>
      <w:r>
        <w:rPr>
          <w:rFonts w:hint="eastAsia" w:ascii="仿宋" w:hAnsi="仿宋" w:eastAsia="仿宋" w:cs="仿宋"/>
          <w:bCs/>
          <w:color w:val="auto"/>
          <w:sz w:val="21"/>
          <w:szCs w:val="21"/>
        </w:rPr>
        <w:t>4.2 本项目不接受联合体比选。</w:t>
      </w:r>
    </w:p>
    <w:p w14:paraId="65A5C6B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4.3 符合上述条件的投标人应承担比选及履约中应承担的全部责任与义务。</w:t>
      </w:r>
    </w:p>
    <w:p w14:paraId="33EDD347">
      <w:pPr>
        <w:pStyle w:val="9"/>
        <w:numPr>
          <w:ilvl w:val="0"/>
          <w:numId w:val="7"/>
        </w:numPr>
        <w:spacing w:before="0" w:after="0" w:line="460" w:lineRule="exact"/>
        <w:jc w:val="both"/>
        <w:rPr>
          <w:rFonts w:ascii="仿宋" w:hAnsi="仿宋" w:eastAsia="仿宋" w:cs="仿宋"/>
          <w:color w:val="auto"/>
          <w:szCs w:val="24"/>
        </w:rPr>
      </w:pPr>
      <w:bookmarkStart w:id="71" w:name="_Toc23791"/>
      <w:bookmarkEnd w:id="71"/>
      <w:bookmarkStart w:id="72" w:name="_Toc26082"/>
      <w:bookmarkEnd w:id="72"/>
      <w:bookmarkStart w:id="73" w:name="_Toc17686"/>
      <w:bookmarkEnd w:id="73"/>
      <w:bookmarkStart w:id="74" w:name="_Toc6933"/>
      <w:bookmarkEnd w:id="74"/>
      <w:bookmarkStart w:id="75" w:name="_Toc12440"/>
      <w:bookmarkEnd w:id="75"/>
      <w:bookmarkStart w:id="76" w:name="_Toc5791"/>
      <w:bookmarkEnd w:id="76"/>
      <w:bookmarkStart w:id="77" w:name="_Toc18587"/>
      <w:bookmarkEnd w:id="77"/>
      <w:bookmarkStart w:id="78" w:name="_Toc16028"/>
      <w:bookmarkEnd w:id="78"/>
      <w:bookmarkStart w:id="79" w:name="_Toc3895"/>
      <w:bookmarkEnd w:id="79"/>
      <w:r>
        <w:rPr>
          <w:rFonts w:hint="eastAsia" w:ascii="仿宋" w:hAnsi="仿宋" w:eastAsia="仿宋" w:cs="仿宋"/>
          <w:color w:val="auto"/>
          <w:szCs w:val="24"/>
        </w:rPr>
        <w:t>比选费用</w:t>
      </w:r>
    </w:p>
    <w:p w14:paraId="70571D99">
      <w:pPr>
        <w:spacing w:line="460" w:lineRule="exact"/>
        <w:ind w:firstLine="420" w:firstLineChars="200"/>
        <w:rPr>
          <w:rFonts w:ascii="仿宋" w:hAnsi="仿宋" w:eastAsia="仿宋" w:cs="仿宋"/>
          <w:color w:val="auto"/>
          <w:szCs w:val="21"/>
        </w:rPr>
      </w:pPr>
      <w:r>
        <w:rPr>
          <w:rFonts w:hint="eastAsia" w:ascii="仿宋" w:hAnsi="仿宋" w:eastAsia="仿宋" w:cs="仿宋"/>
          <w:color w:val="auto"/>
          <w:szCs w:val="21"/>
        </w:rPr>
        <w:t>无论是否成交，投标人自行承担所有与参加比选有关的全部费用。</w:t>
      </w:r>
    </w:p>
    <w:p w14:paraId="5A72C94B">
      <w:pPr>
        <w:pStyle w:val="8"/>
        <w:numPr>
          <w:ilvl w:val="0"/>
          <w:numId w:val="0"/>
        </w:numPr>
        <w:spacing w:before="0" w:after="0" w:line="460" w:lineRule="exact"/>
        <w:ind w:left="425"/>
        <w:rPr>
          <w:rFonts w:ascii="仿宋" w:hAnsi="仿宋" w:eastAsia="仿宋" w:cs="仿宋"/>
          <w:color w:val="auto"/>
          <w:szCs w:val="28"/>
        </w:rPr>
      </w:pPr>
      <w:bookmarkStart w:id="80" w:name="_Toc32539"/>
      <w:bookmarkEnd w:id="80"/>
      <w:bookmarkStart w:id="81" w:name="_Toc1945"/>
      <w:bookmarkEnd w:id="81"/>
      <w:bookmarkStart w:id="82" w:name="_Toc3597"/>
      <w:bookmarkEnd w:id="82"/>
      <w:bookmarkStart w:id="83" w:name="_Toc25908"/>
      <w:bookmarkEnd w:id="83"/>
      <w:bookmarkStart w:id="84" w:name="_Toc18361"/>
      <w:bookmarkEnd w:id="84"/>
      <w:bookmarkStart w:id="85" w:name="_Toc31781"/>
      <w:bookmarkEnd w:id="85"/>
      <w:bookmarkStart w:id="86" w:name="_Toc4676"/>
      <w:bookmarkEnd w:id="86"/>
      <w:r>
        <w:rPr>
          <w:rFonts w:hint="eastAsia" w:ascii="仿宋" w:hAnsi="仿宋" w:eastAsia="仿宋" w:cs="仿宋"/>
          <w:color w:val="auto"/>
          <w:szCs w:val="28"/>
        </w:rPr>
        <w:t>二、比选文件</w:t>
      </w:r>
    </w:p>
    <w:p w14:paraId="48446994">
      <w:pPr>
        <w:pStyle w:val="9"/>
        <w:numPr>
          <w:ilvl w:val="0"/>
          <w:numId w:val="8"/>
        </w:numPr>
        <w:spacing w:before="0" w:after="0" w:line="460" w:lineRule="exact"/>
        <w:jc w:val="both"/>
        <w:rPr>
          <w:rFonts w:ascii="仿宋" w:hAnsi="仿宋" w:eastAsia="仿宋" w:cs="仿宋"/>
          <w:color w:val="auto"/>
          <w:szCs w:val="24"/>
        </w:rPr>
      </w:pPr>
      <w:bookmarkStart w:id="87" w:name="_Toc28090"/>
      <w:bookmarkEnd w:id="87"/>
      <w:bookmarkStart w:id="88" w:name="_Toc17714"/>
      <w:bookmarkEnd w:id="88"/>
      <w:bookmarkStart w:id="89" w:name="_Toc24836"/>
      <w:bookmarkEnd w:id="89"/>
      <w:bookmarkStart w:id="90" w:name="_Toc25299"/>
      <w:bookmarkEnd w:id="90"/>
      <w:bookmarkStart w:id="91" w:name="_Toc28556"/>
      <w:bookmarkEnd w:id="91"/>
      <w:bookmarkStart w:id="92" w:name="_Toc18193"/>
      <w:bookmarkEnd w:id="92"/>
      <w:bookmarkStart w:id="93" w:name="_Toc3775"/>
      <w:bookmarkEnd w:id="93"/>
      <w:bookmarkStart w:id="94" w:name="_Toc2544"/>
      <w:bookmarkEnd w:id="94"/>
      <w:bookmarkStart w:id="95" w:name="_Toc6320"/>
      <w:bookmarkEnd w:id="95"/>
      <w:r>
        <w:rPr>
          <w:rFonts w:hint="eastAsia" w:ascii="仿宋" w:hAnsi="仿宋" w:eastAsia="仿宋" w:cs="仿宋"/>
          <w:color w:val="auto"/>
          <w:szCs w:val="24"/>
        </w:rPr>
        <w:t>比选文件的组成</w:t>
      </w:r>
    </w:p>
    <w:p w14:paraId="36480DF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要求提供的服务、采购过程及合同条款在比选文件中均有说明，比选文件共六章，各章的内容如下：</w:t>
      </w:r>
    </w:p>
    <w:p w14:paraId="403E4228">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第一章  比选公告</w:t>
      </w:r>
    </w:p>
    <w:p w14:paraId="06C9CAED">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第二章  投标人须知</w:t>
      </w:r>
    </w:p>
    <w:p w14:paraId="70133AE4">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三</w:t>
      </w:r>
      <w:r>
        <w:rPr>
          <w:rFonts w:hint="eastAsia" w:ascii="仿宋" w:hAnsi="仿宋" w:eastAsia="仿宋" w:cs="仿宋"/>
          <w:color w:val="auto"/>
          <w:szCs w:val="21"/>
        </w:rPr>
        <w:t>章  响应文件格式</w:t>
      </w:r>
    </w:p>
    <w:p w14:paraId="56B9AA67">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四</w:t>
      </w:r>
      <w:r>
        <w:rPr>
          <w:rFonts w:hint="eastAsia" w:ascii="仿宋" w:hAnsi="仿宋" w:eastAsia="仿宋" w:cs="仿宋"/>
          <w:color w:val="auto"/>
          <w:szCs w:val="21"/>
        </w:rPr>
        <w:t>章  项目需求</w:t>
      </w:r>
    </w:p>
    <w:p w14:paraId="3BF6BBBD">
      <w:pPr>
        <w:spacing w:line="460" w:lineRule="exact"/>
        <w:ind w:firstLine="630" w:firstLineChars="300"/>
        <w:jc w:val="left"/>
        <w:rPr>
          <w:rFonts w:ascii="仿宋" w:hAnsi="仿宋" w:eastAsia="仿宋" w:cs="仿宋"/>
          <w:color w:val="auto"/>
          <w:sz w:val="24"/>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五</w:t>
      </w:r>
      <w:r>
        <w:rPr>
          <w:rFonts w:hint="eastAsia" w:ascii="仿宋" w:hAnsi="仿宋" w:eastAsia="仿宋" w:cs="仿宋"/>
          <w:color w:val="auto"/>
          <w:szCs w:val="21"/>
        </w:rPr>
        <w:t>章  评审办法</w:t>
      </w:r>
    </w:p>
    <w:p w14:paraId="34A13CD7">
      <w:pPr>
        <w:pStyle w:val="9"/>
        <w:numPr>
          <w:ilvl w:val="0"/>
          <w:numId w:val="8"/>
        </w:numPr>
        <w:spacing w:before="0" w:after="0" w:line="460" w:lineRule="exact"/>
        <w:ind w:left="587"/>
        <w:jc w:val="both"/>
        <w:rPr>
          <w:rFonts w:ascii="仿宋" w:hAnsi="仿宋" w:eastAsia="仿宋" w:cs="仿宋"/>
          <w:color w:val="auto"/>
          <w:szCs w:val="24"/>
        </w:rPr>
      </w:pPr>
      <w:bookmarkStart w:id="96" w:name="_Toc27917"/>
      <w:bookmarkEnd w:id="96"/>
      <w:bookmarkStart w:id="97" w:name="_Toc6844"/>
      <w:bookmarkEnd w:id="97"/>
      <w:bookmarkStart w:id="98" w:name="_Toc6725"/>
      <w:bookmarkEnd w:id="98"/>
      <w:bookmarkStart w:id="99" w:name="_Toc2347"/>
      <w:bookmarkEnd w:id="99"/>
      <w:bookmarkStart w:id="100" w:name="_Toc8436"/>
      <w:bookmarkEnd w:id="100"/>
      <w:bookmarkStart w:id="101" w:name="_Toc31968"/>
      <w:bookmarkEnd w:id="101"/>
      <w:bookmarkStart w:id="102" w:name="_Toc13301"/>
      <w:bookmarkEnd w:id="102"/>
      <w:bookmarkStart w:id="103" w:name="_Toc24841"/>
      <w:bookmarkEnd w:id="103"/>
      <w:bookmarkStart w:id="104" w:name="_Toc25923"/>
      <w:bookmarkEnd w:id="104"/>
      <w:r>
        <w:rPr>
          <w:rFonts w:hint="eastAsia" w:ascii="仿宋" w:hAnsi="仿宋" w:eastAsia="仿宋" w:cs="仿宋"/>
          <w:color w:val="auto"/>
          <w:szCs w:val="24"/>
        </w:rPr>
        <w:t>比选文件的澄清、修改</w:t>
      </w:r>
    </w:p>
    <w:p w14:paraId="5BD8DA4C">
      <w:pPr>
        <w:numPr>
          <w:ilvl w:val="1"/>
          <w:numId w:val="9"/>
        </w:numPr>
        <w:spacing w:line="460" w:lineRule="exact"/>
        <w:jc w:val="left"/>
        <w:rPr>
          <w:rFonts w:ascii="仿宋" w:hAnsi="仿宋" w:eastAsia="仿宋" w:cs="仿宋"/>
          <w:color w:val="auto"/>
          <w:szCs w:val="21"/>
        </w:rPr>
      </w:pPr>
      <w:r>
        <w:rPr>
          <w:rFonts w:hint="eastAsia" w:ascii="仿宋" w:hAnsi="仿宋" w:eastAsia="仿宋" w:cs="仿宋"/>
          <w:color w:val="auto"/>
          <w:szCs w:val="21"/>
        </w:rPr>
        <w:t>投标人应认真阅读比选文件，如有疑问的，投标人可以在“投标人须知前附表”规定截止时间前以澄清函形式（加盖单位公章）要求招标人澄清，截止时间后送达的澄清要求概不接受。</w:t>
      </w:r>
    </w:p>
    <w:p w14:paraId="2CBA8BED">
      <w:pPr>
        <w:numPr>
          <w:ilvl w:val="1"/>
          <w:numId w:val="9"/>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招标人将以书面形式答复所有获取比选文件的投标人（答复中不包含问题的来源）要求澄清的问题，其他澄清方式无效。</w:t>
      </w:r>
    </w:p>
    <w:p w14:paraId="05F33F47">
      <w:pPr>
        <w:numPr>
          <w:ilvl w:val="1"/>
          <w:numId w:val="9"/>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14:paraId="48951AEB">
      <w:pPr>
        <w:numPr>
          <w:ilvl w:val="1"/>
          <w:numId w:val="9"/>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招标人可以视采购具体情况，推迟递交响应文件截止时间，并将变更时间书面通知所有获取比选文件的投标人。</w:t>
      </w:r>
    </w:p>
    <w:p w14:paraId="550AFCC8">
      <w:pPr>
        <w:pStyle w:val="8"/>
        <w:numPr>
          <w:ilvl w:val="0"/>
          <w:numId w:val="0"/>
        </w:numPr>
        <w:spacing w:before="0" w:after="0" w:line="460" w:lineRule="exact"/>
        <w:ind w:left="425"/>
        <w:rPr>
          <w:rFonts w:ascii="仿宋" w:hAnsi="仿宋" w:eastAsia="仿宋" w:cs="仿宋"/>
          <w:color w:val="auto"/>
          <w:szCs w:val="28"/>
        </w:rPr>
      </w:pPr>
      <w:bookmarkStart w:id="105" w:name="_Toc28101"/>
      <w:bookmarkEnd w:id="105"/>
      <w:bookmarkStart w:id="106" w:name="_Toc12051"/>
      <w:bookmarkEnd w:id="106"/>
      <w:bookmarkStart w:id="107" w:name="_Toc32557"/>
      <w:bookmarkEnd w:id="107"/>
      <w:bookmarkStart w:id="108" w:name="_Toc15754"/>
      <w:bookmarkEnd w:id="108"/>
      <w:bookmarkStart w:id="109" w:name="_Toc13663"/>
      <w:bookmarkEnd w:id="109"/>
      <w:bookmarkStart w:id="110" w:name="_Toc10677"/>
      <w:bookmarkEnd w:id="110"/>
      <w:bookmarkStart w:id="111" w:name="_Toc26660"/>
      <w:bookmarkEnd w:id="111"/>
      <w:r>
        <w:rPr>
          <w:rFonts w:hint="eastAsia" w:ascii="仿宋" w:hAnsi="仿宋" w:eastAsia="仿宋" w:cs="仿宋"/>
          <w:color w:val="auto"/>
          <w:szCs w:val="28"/>
        </w:rPr>
        <w:t>三、响应文件的编制</w:t>
      </w:r>
    </w:p>
    <w:p w14:paraId="2E757279">
      <w:pPr>
        <w:pStyle w:val="9"/>
        <w:numPr>
          <w:ilvl w:val="0"/>
          <w:numId w:val="10"/>
        </w:numPr>
        <w:spacing w:before="0" w:after="0" w:line="460" w:lineRule="exact"/>
        <w:ind w:left="587"/>
        <w:jc w:val="both"/>
        <w:rPr>
          <w:rFonts w:ascii="仿宋" w:hAnsi="仿宋" w:eastAsia="仿宋" w:cs="仿宋"/>
          <w:color w:val="auto"/>
          <w:szCs w:val="24"/>
        </w:rPr>
      </w:pPr>
      <w:bookmarkStart w:id="112" w:name="_Toc6030"/>
      <w:bookmarkEnd w:id="112"/>
      <w:bookmarkStart w:id="113" w:name="_Toc8741"/>
      <w:bookmarkEnd w:id="113"/>
      <w:bookmarkStart w:id="114" w:name="_Toc24142"/>
      <w:bookmarkEnd w:id="114"/>
      <w:bookmarkStart w:id="115" w:name="_Toc6711"/>
      <w:bookmarkEnd w:id="115"/>
      <w:bookmarkStart w:id="116" w:name="_Toc13820"/>
      <w:bookmarkEnd w:id="116"/>
      <w:bookmarkStart w:id="117" w:name="_Toc15806"/>
      <w:bookmarkEnd w:id="117"/>
      <w:bookmarkStart w:id="118" w:name="_Toc14201"/>
      <w:bookmarkEnd w:id="118"/>
      <w:bookmarkStart w:id="119" w:name="_Toc11568"/>
      <w:bookmarkEnd w:id="119"/>
      <w:bookmarkStart w:id="120" w:name="_Toc16810"/>
      <w:bookmarkEnd w:id="120"/>
      <w:r>
        <w:rPr>
          <w:rFonts w:hint="eastAsia" w:ascii="仿宋" w:hAnsi="仿宋" w:eastAsia="仿宋" w:cs="仿宋"/>
          <w:color w:val="auto"/>
          <w:szCs w:val="24"/>
        </w:rPr>
        <w:t>响应文件编写注意事项</w:t>
      </w:r>
    </w:p>
    <w:p w14:paraId="39AB5063">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投标人应仔细阅读比选文件，在完全了解采购的内容、技术性能要求（见第四章“项目需求”）和商务条件后，编写响应文件。</w:t>
      </w:r>
    </w:p>
    <w:p w14:paraId="686C13A6">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对比选文件提出的实质性要求作出响应是指投标人必须对比选文件中规定的实质性要求作出满足或者优于原要求的承诺。</w:t>
      </w:r>
    </w:p>
    <w:p w14:paraId="4105D5EB">
      <w:pPr>
        <w:pStyle w:val="9"/>
        <w:numPr>
          <w:ilvl w:val="0"/>
          <w:numId w:val="10"/>
        </w:numPr>
        <w:spacing w:before="0" w:after="0" w:line="460" w:lineRule="exact"/>
        <w:ind w:left="587"/>
        <w:jc w:val="both"/>
        <w:rPr>
          <w:rFonts w:ascii="仿宋" w:hAnsi="仿宋" w:eastAsia="仿宋" w:cs="仿宋"/>
          <w:color w:val="auto"/>
          <w:szCs w:val="24"/>
        </w:rPr>
      </w:pPr>
      <w:bookmarkStart w:id="121" w:name="_Toc18393"/>
      <w:bookmarkEnd w:id="121"/>
      <w:bookmarkStart w:id="122" w:name="_Toc28562"/>
      <w:bookmarkEnd w:id="122"/>
      <w:bookmarkStart w:id="123" w:name="_Toc2887"/>
      <w:bookmarkEnd w:id="123"/>
      <w:bookmarkStart w:id="124" w:name="_Toc23984"/>
      <w:bookmarkEnd w:id="124"/>
      <w:bookmarkStart w:id="125" w:name="_Toc16328"/>
      <w:bookmarkEnd w:id="125"/>
      <w:bookmarkStart w:id="126" w:name="_Toc9212"/>
      <w:bookmarkEnd w:id="126"/>
      <w:bookmarkStart w:id="127" w:name="_Toc24310"/>
      <w:bookmarkEnd w:id="127"/>
      <w:bookmarkStart w:id="128" w:name="_Toc23974"/>
      <w:bookmarkEnd w:id="128"/>
      <w:bookmarkStart w:id="129" w:name="_Toc18291"/>
      <w:bookmarkEnd w:id="129"/>
      <w:r>
        <w:rPr>
          <w:rFonts w:hint="eastAsia" w:ascii="仿宋" w:hAnsi="仿宋" w:eastAsia="仿宋" w:cs="仿宋"/>
          <w:color w:val="auto"/>
          <w:szCs w:val="24"/>
        </w:rPr>
        <w:t>响应文件构成</w:t>
      </w:r>
    </w:p>
    <w:p w14:paraId="10B41B2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投标人编写的响应文件按第四章“响应文件格式”提供的格式及要求填写，并按顺序装订成册。</w:t>
      </w:r>
    </w:p>
    <w:p w14:paraId="6FE6C9E7">
      <w:pPr>
        <w:pStyle w:val="9"/>
        <w:numPr>
          <w:ilvl w:val="0"/>
          <w:numId w:val="10"/>
        </w:numPr>
        <w:spacing w:before="0" w:after="0" w:line="460" w:lineRule="exact"/>
        <w:ind w:left="587"/>
        <w:jc w:val="both"/>
        <w:rPr>
          <w:rFonts w:ascii="仿宋" w:hAnsi="仿宋" w:eastAsia="仿宋" w:cs="仿宋"/>
          <w:color w:val="auto"/>
          <w:szCs w:val="24"/>
        </w:rPr>
      </w:pPr>
      <w:bookmarkStart w:id="130" w:name="_Toc21312"/>
      <w:bookmarkEnd w:id="130"/>
      <w:bookmarkStart w:id="131" w:name="_Toc15896"/>
      <w:bookmarkEnd w:id="131"/>
      <w:bookmarkStart w:id="132" w:name="_Toc12104"/>
      <w:bookmarkEnd w:id="132"/>
      <w:bookmarkStart w:id="133" w:name="_Toc807"/>
      <w:bookmarkEnd w:id="133"/>
      <w:bookmarkStart w:id="134" w:name="_Toc25119"/>
      <w:bookmarkEnd w:id="134"/>
      <w:bookmarkStart w:id="135" w:name="_Toc19417"/>
      <w:bookmarkEnd w:id="135"/>
      <w:bookmarkStart w:id="136" w:name="_Toc14111"/>
      <w:bookmarkEnd w:id="136"/>
      <w:bookmarkStart w:id="137" w:name="_Toc31178"/>
      <w:bookmarkEnd w:id="137"/>
      <w:bookmarkStart w:id="138" w:name="_Toc18203"/>
      <w:bookmarkEnd w:id="138"/>
      <w:r>
        <w:rPr>
          <w:rFonts w:hint="eastAsia" w:ascii="仿宋" w:hAnsi="仿宋" w:eastAsia="仿宋" w:cs="仿宋"/>
          <w:color w:val="auto"/>
          <w:szCs w:val="24"/>
        </w:rPr>
        <w:t>报价和报价货币</w:t>
      </w:r>
    </w:p>
    <w:p w14:paraId="551A824F">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报价指本次服务的总报价，包含完成本项目服务内容所需的一切费用。</w:t>
      </w:r>
    </w:p>
    <w:p w14:paraId="6B684BC3">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投标人应就“项目需求”中的服务内容作完整唯一报价。</w:t>
      </w:r>
    </w:p>
    <w:p w14:paraId="5ED1177B">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w:t>
      </w:r>
      <w:r>
        <w:rPr>
          <w:rFonts w:hint="eastAsia" w:ascii="仿宋" w:hAnsi="仿宋" w:eastAsia="仿宋" w:cs="仿宋"/>
          <w:color w:val="auto"/>
          <w:szCs w:val="21"/>
          <w:lang w:eastAsia="zh-CN"/>
        </w:rPr>
        <w:t>，</w:t>
      </w:r>
      <w:r>
        <w:rPr>
          <w:rFonts w:hint="eastAsia" w:ascii="仿宋" w:hAnsi="仿宋" w:eastAsia="仿宋" w:cs="仿宋"/>
          <w:color w:val="auto"/>
          <w:szCs w:val="21"/>
        </w:rPr>
        <w:t>为包干总价。合同一旦签订，此价格在合同实施期间将不因市场价格等的变化而调整。</w:t>
      </w:r>
    </w:p>
    <w:p w14:paraId="2BDACCD4">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14:paraId="2C205205">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报价货币为人民币。</w:t>
      </w:r>
    </w:p>
    <w:p w14:paraId="1CE856F3">
      <w:pPr>
        <w:pStyle w:val="9"/>
        <w:numPr>
          <w:ilvl w:val="0"/>
          <w:numId w:val="10"/>
        </w:numPr>
        <w:spacing w:before="0" w:after="0" w:line="460" w:lineRule="exact"/>
        <w:ind w:left="587"/>
        <w:jc w:val="both"/>
        <w:rPr>
          <w:rFonts w:ascii="仿宋" w:hAnsi="仿宋" w:eastAsia="仿宋" w:cs="仿宋"/>
          <w:color w:val="auto"/>
          <w:szCs w:val="24"/>
        </w:rPr>
      </w:pPr>
      <w:bookmarkStart w:id="139" w:name="_Toc30518"/>
      <w:bookmarkEnd w:id="139"/>
      <w:bookmarkStart w:id="140" w:name="_Toc4530"/>
      <w:bookmarkEnd w:id="140"/>
      <w:bookmarkStart w:id="141" w:name="_Toc5948"/>
      <w:bookmarkEnd w:id="141"/>
      <w:bookmarkStart w:id="142" w:name="_Toc5496"/>
      <w:bookmarkEnd w:id="142"/>
      <w:bookmarkStart w:id="143" w:name="_Toc22694"/>
      <w:bookmarkEnd w:id="143"/>
      <w:bookmarkStart w:id="144" w:name="_Toc17608"/>
      <w:bookmarkEnd w:id="144"/>
      <w:bookmarkStart w:id="145" w:name="_Toc26047"/>
      <w:bookmarkEnd w:id="145"/>
      <w:bookmarkStart w:id="146" w:name="_Toc14166"/>
      <w:bookmarkEnd w:id="146"/>
      <w:bookmarkStart w:id="147" w:name="_Toc9717"/>
      <w:bookmarkEnd w:id="147"/>
      <w:r>
        <w:rPr>
          <w:rFonts w:hint="eastAsia" w:ascii="仿宋" w:hAnsi="仿宋" w:eastAsia="仿宋" w:cs="仿宋"/>
          <w:color w:val="auto"/>
          <w:szCs w:val="24"/>
        </w:rPr>
        <w:t>有效期</w:t>
      </w:r>
    </w:p>
    <w:p w14:paraId="3A8E702D">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”规定的有效期内，投标人不得要求撤销或修改其响应文件。</w:t>
      </w:r>
    </w:p>
    <w:p w14:paraId="70E14EE4">
      <w:pPr>
        <w:numPr>
          <w:ilvl w:val="1"/>
          <w:numId w:val="13"/>
        </w:numPr>
        <w:spacing w:line="460" w:lineRule="exact"/>
        <w:jc w:val="left"/>
        <w:rPr>
          <w:rFonts w:ascii="仿宋" w:hAnsi="仿宋" w:eastAsia="仿宋" w:cs="仿宋"/>
          <w:color w:val="auto"/>
          <w:sz w:val="24"/>
        </w:rPr>
      </w:pPr>
      <w:r>
        <w:rPr>
          <w:rFonts w:hint="eastAsia" w:ascii="仿宋" w:hAnsi="仿宋" w:eastAsia="仿宋" w:cs="仿宋"/>
          <w:color w:val="auto"/>
          <w:szCs w:val="21"/>
        </w:rPr>
        <w:t>因特殊情况需要延长有效期的，招标人以书面形式通知所有投标人延长有效期。投标人同意延长的，应相应延长其保证金的有效期，但不得要求或被允许修改或撤销其响应文件；投标人拒绝延长的，其比选申请失效，但投标人有权收回其保证金。</w:t>
      </w:r>
    </w:p>
    <w:p w14:paraId="4244F0ED">
      <w:pPr>
        <w:pStyle w:val="9"/>
        <w:numPr>
          <w:ilvl w:val="0"/>
          <w:numId w:val="10"/>
        </w:numPr>
        <w:spacing w:before="0" w:after="0" w:line="460" w:lineRule="exact"/>
        <w:ind w:left="587"/>
        <w:jc w:val="both"/>
        <w:rPr>
          <w:rFonts w:ascii="仿宋" w:hAnsi="仿宋" w:eastAsia="仿宋" w:cs="仿宋"/>
          <w:color w:val="auto"/>
          <w:szCs w:val="24"/>
        </w:rPr>
      </w:pPr>
      <w:bookmarkStart w:id="148" w:name="_Toc778"/>
      <w:bookmarkEnd w:id="148"/>
      <w:bookmarkStart w:id="149" w:name="_Toc28335"/>
      <w:bookmarkEnd w:id="149"/>
      <w:bookmarkStart w:id="150" w:name="_Toc25546"/>
      <w:bookmarkEnd w:id="150"/>
      <w:bookmarkStart w:id="151" w:name="_Toc3718"/>
      <w:bookmarkEnd w:id="151"/>
      <w:bookmarkStart w:id="152" w:name="_Toc2016"/>
      <w:bookmarkEnd w:id="152"/>
      <w:bookmarkStart w:id="153" w:name="_Toc3188"/>
      <w:bookmarkEnd w:id="153"/>
      <w:bookmarkStart w:id="154" w:name="_Toc16323"/>
      <w:bookmarkEnd w:id="154"/>
      <w:bookmarkStart w:id="155" w:name="_Toc16248"/>
      <w:bookmarkEnd w:id="155"/>
      <w:bookmarkStart w:id="156" w:name="_Toc21829"/>
      <w:bookmarkEnd w:id="156"/>
      <w:r>
        <w:rPr>
          <w:rFonts w:hint="eastAsia" w:ascii="仿宋" w:hAnsi="仿宋" w:eastAsia="仿宋" w:cs="仿宋"/>
          <w:color w:val="auto"/>
          <w:szCs w:val="24"/>
        </w:rPr>
        <w:t>响应文件的书写要求</w:t>
      </w:r>
    </w:p>
    <w:p w14:paraId="05DA2A93">
      <w:pPr>
        <w:numPr>
          <w:ilvl w:val="1"/>
          <w:numId w:val="14"/>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响应文件须用不褪色的墨水书写或打印。并按比选文件要求由投标人的法定代表人或其委托</w:t>
      </w:r>
      <w:r>
        <w:rPr>
          <w:rFonts w:hint="eastAsia" w:ascii="仿宋" w:hAnsi="仿宋" w:eastAsia="仿宋" w:cs="仿宋"/>
          <w:color w:val="auto"/>
          <w:szCs w:val="21"/>
          <w:lang w:eastAsia="zh-CN"/>
        </w:rPr>
        <w:t>代理人签字并加盖</w:t>
      </w:r>
      <w:r>
        <w:rPr>
          <w:rFonts w:hint="eastAsia" w:ascii="仿宋" w:hAnsi="仿宋" w:eastAsia="仿宋" w:cs="仿宋"/>
          <w:color w:val="auto"/>
          <w:szCs w:val="21"/>
        </w:rPr>
        <w:t>单</w:t>
      </w:r>
      <w:r>
        <w:rPr>
          <w:rFonts w:hint="eastAsia" w:ascii="仿宋" w:hAnsi="仿宋" w:eastAsia="仿宋" w:cs="仿宋"/>
          <w:color w:val="auto"/>
          <w:szCs w:val="21"/>
          <w:lang w:eastAsia="zh-CN"/>
        </w:rPr>
        <w:t>位公</w:t>
      </w:r>
      <w:r>
        <w:rPr>
          <w:rFonts w:hint="eastAsia" w:ascii="仿宋" w:hAnsi="仿宋" w:eastAsia="仿宋" w:cs="仿宋"/>
          <w:color w:val="auto"/>
          <w:szCs w:val="21"/>
        </w:rPr>
        <w:t>章。</w:t>
      </w:r>
      <w:r>
        <w:rPr>
          <w:rFonts w:hint="eastAsia" w:ascii="仿宋" w:hAnsi="仿宋" w:eastAsia="仿宋" w:cs="仿宋"/>
          <w:b/>
          <w:color w:val="auto"/>
          <w:szCs w:val="21"/>
        </w:rPr>
        <w:t>委托代理人签字的，响应文件应附法定代表人签署的授权委托书。</w:t>
      </w:r>
    </w:p>
    <w:p w14:paraId="6A87F525">
      <w:pPr>
        <w:numPr>
          <w:ilvl w:val="1"/>
          <w:numId w:val="14"/>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响应文件应尽量避免涂改、行间插字或删除。如果出现上述情况，改动之处应加盖单</w:t>
      </w:r>
      <w:r>
        <w:rPr>
          <w:rFonts w:hint="eastAsia" w:ascii="仿宋" w:hAnsi="仿宋" w:eastAsia="仿宋" w:cs="仿宋"/>
          <w:color w:val="auto"/>
          <w:szCs w:val="21"/>
          <w:lang w:eastAsia="zh-CN"/>
        </w:rPr>
        <w:t>位公</w:t>
      </w:r>
      <w:r>
        <w:rPr>
          <w:rFonts w:hint="eastAsia" w:ascii="仿宋" w:hAnsi="仿宋" w:eastAsia="仿宋" w:cs="仿宋"/>
          <w:color w:val="auto"/>
          <w:szCs w:val="21"/>
        </w:rPr>
        <w:t>章或投标人法定代表人或其授权的代理人签字确认。</w:t>
      </w:r>
    </w:p>
    <w:p w14:paraId="3573FD79">
      <w:pPr>
        <w:numPr>
          <w:ilvl w:val="1"/>
          <w:numId w:val="14"/>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字迹潦草、表达不清、未按要求填写而导致非唯一理解，造成未实质性响应比选文件的响应文件将会被认定为无效的比选申请。因复印模糊，导致资料无法辨认的，视为未提供该资料。</w:t>
      </w:r>
    </w:p>
    <w:p w14:paraId="74FE09DB">
      <w:pPr>
        <w:numPr>
          <w:ilvl w:val="1"/>
          <w:numId w:val="14"/>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响应文件应准备正本一份，并按“投标人须知前附表”中规定的数量准备文件的副本。响应文件封面上应标明“正本”或“副本”。若正本和副本不符，以正本为准，副本可以采用正本的复印件。</w:t>
      </w:r>
    </w:p>
    <w:p w14:paraId="3DFFC940">
      <w:pPr>
        <w:numPr>
          <w:ilvl w:val="1"/>
          <w:numId w:val="14"/>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14:paraId="54ECB9C8">
      <w:pPr>
        <w:numPr>
          <w:ilvl w:val="1"/>
          <w:numId w:val="14"/>
        </w:numPr>
        <w:spacing w:line="460" w:lineRule="exact"/>
        <w:jc w:val="left"/>
        <w:rPr>
          <w:rFonts w:ascii="仿宋" w:hAnsi="仿宋" w:eastAsia="仿宋" w:cs="仿宋"/>
          <w:color w:val="auto"/>
          <w:szCs w:val="21"/>
        </w:rPr>
      </w:pPr>
      <w:r>
        <w:rPr>
          <w:rFonts w:hint="eastAsia" w:ascii="仿宋" w:hAnsi="仿宋" w:eastAsia="仿宋" w:cs="仿宋"/>
          <w:color w:val="auto"/>
          <w:szCs w:val="21"/>
        </w:rPr>
        <w:t>响应文件正本与副本均应采用A4幅面纸张编制。</w:t>
      </w:r>
    </w:p>
    <w:p w14:paraId="47E6CB21">
      <w:pPr>
        <w:pStyle w:val="9"/>
        <w:numPr>
          <w:ilvl w:val="0"/>
          <w:numId w:val="10"/>
        </w:numPr>
        <w:spacing w:before="0" w:after="0" w:line="460" w:lineRule="exact"/>
        <w:ind w:left="587"/>
        <w:jc w:val="both"/>
        <w:rPr>
          <w:rFonts w:ascii="仿宋" w:hAnsi="仿宋" w:eastAsia="仿宋" w:cs="仿宋"/>
          <w:color w:val="auto"/>
          <w:szCs w:val="24"/>
        </w:rPr>
      </w:pPr>
      <w:bookmarkStart w:id="157" w:name="_Toc20875"/>
      <w:bookmarkEnd w:id="157"/>
      <w:bookmarkStart w:id="158" w:name="_Toc25523"/>
      <w:bookmarkEnd w:id="158"/>
      <w:bookmarkStart w:id="159" w:name="_Toc30078"/>
      <w:bookmarkEnd w:id="159"/>
      <w:bookmarkStart w:id="160" w:name="_Toc16541"/>
      <w:bookmarkEnd w:id="160"/>
      <w:bookmarkStart w:id="161" w:name="_Toc549"/>
      <w:bookmarkEnd w:id="161"/>
      <w:bookmarkStart w:id="162" w:name="_Toc28324"/>
      <w:bookmarkEnd w:id="162"/>
      <w:bookmarkStart w:id="163" w:name="_Toc14550"/>
      <w:bookmarkEnd w:id="163"/>
      <w:bookmarkStart w:id="164" w:name="_Toc4551"/>
      <w:bookmarkEnd w:id="164"/>
      <w:bookmarkStart w:id="165" w:name="_Toc638"/>
      <w:bookmarkEnd w:id="165"/>
      <w:r>
        <w:rPr>
          <w:rFonts w:hint="eastAsia" w:ascii="仿宋" w:hAnsi="仿宋" w:eastAsia="仿宋" w:cs="仿宋"/>
          <w:color w:val="auto"/>
          <w:szCs w:val="24"/>
        </w:rPr>
        <w:t>比选保证金</w:t>
      </w:r>
    </w:p>
    <w:p w14:paraId="675C702F">
      <w:pPr>
        <w:pStyle w:val="8"/>
        <w:numPr>
          <w:ilvl w:val="0"/>
          <w:numId w:val="0"/>
        </w:numPr>
        <w:spacing w:before="0" w:after="0" w:line="460" w:lineRule="exact"/>
        <w:ind w:left="425"/>
        <w:jc w:val="left"/>
        <w:rPr>
          <w:rFonts w:ascii="仿宋" w:hAnsi="仿宋" w:eastAsia="仿宋" w:cs="仿宋"/>
          <w:b w:val="0"/>
          <w:bCs w:val="0"/>
          <w:color w:val="auto"/>
          <w:sz w:val="21"/>
          <w:szCs w:val="21"/>
        </w:rPr>
      </w:pPr>
      <w:bookmarkStart w:id="166" w:name="_Toc16348"/>
      <w:bookmarkStart w:id="167" w:name="_Toc23272"/>
      <w:bookmarkStart w:id="168" w:name="_Toc13244"/>
      <w:bookmarkStart w:id="169" w:name="_Toc5244"/>
      <w:bookmarkStart w:id="170" w:name="_Toc19123"/>
      <w:bookmarkStart w:id="171" w:name="_Toc15162"/>
      <w:bookmarkStart w:id="172" w:name="_Toc30616"/>
      <w:r>
        <w:rPr>
          <w:rFonts w:hint="eastAsia" w:ascii="仿宋" w:hAnsi="仿宋" w:eastAsia="仿宋" w:cs="仿宋"/>
          <w:b w:val="0"/>
          <w:bCs w:val="0"/>
          <w:color w:val="auto"/>
          <w:sz w:val="21"/>
          <w:szCs w:val="21"/>
        </w:rPr>
        <w:t>本项目不收取比选保证金。</w:t>
      </w:r>
    </w:p>
    <w:bookmarkEnd w:id="166"/>
    <w:bookmarkEnd w:id="167"/>
    <w:bookmarkEnd w:id="168"/>
    <w:bookmarkEnd w:id="169"/>
    <w:bookmarkEnd w:id="170"/>
    <w:bookmarkEnd w:id="171"/>
    <w:bookmarkEnd w:id="172"/>
    <w:p w14:paraId="6FD7AFFB">
      <w:pPr>
        <w:pStyle w:val="8"/>
        <w:numPr>
          <w:ilvl w:val="0"/>
          <w:numId w:val="0"/>
        </w:numPr>
        <w:spacing w:before="0" w:after="0" w:line="460" w:lineRule="exact"/>
        <w:ind w:left="425"/>
        <w:rPr>
          <w:rFonts w:ascii="仿宋" w:hAnsi="仿宋" w:eastAsia="仿宋" w:cs="仿宋"/>
          <w:color w:val="auto"/>
          <w:szCs w:val="28"/>
        </w:rPr>
      </w:pPr>
      <w:r>
        <w:rPr>
          <w:rFonts w:hint="eastAsia" w:ascii="仿宋" w:hAnsi="仿宋" w:eastAsia="仿宋" w:cs="仿宋"/>
          <w:color w:val="auto"/>
          <w:szCs w:val="28"/>
        </w:rPr>
        <w:t>四、响应文件的提交</w:t>
      </w:r>
    </w:p>
    <w:p w14:paraId="18E7342E">
      <w:pPr>
        <w:pStyle w:val="9"/>
        <w:numPr>
          <w:ilvl w:val="0"/>
          <w:numId w:val="15"/>
        </w:numPr>
        <w:spacing w:before="0" w:after="0" w:line="460" w:lineRule="exact"/>
        <w:ind w:left="587"/>
        <w:jc w:val="both"/>
        <w:rPr>
          <w:rFonts w:ascii="仿宋" w:hAnsi="仿宋" w:eastAsia="仿宋" w:cs="仿宋"/>
          <w:color w:val="auto"/>
          <w:szCs w:val="24"/>
        </w:rPr>
      </w:pPr>
      <w:bookmarkStart w:id="173" w:name="_Toc24609"/>
      <w:bookmarkEnd w:id="173"/>
      <w:bookmarkStart w:id="174" w:name="_Toc6683"/>
      <w:bookmarkEnd w:id="174"/>
      <w:bookmarkStart w:id="175" w:name="_Toc23651"/>
      <w:bookmarkEnd w:id="175"/>
      <w:bookmarkStart w:id="176" w:name="_Toc18720"/>
      <w:bookmarkEnd w:id="176"/>
      <w:bookmarkStart w:id="177" w:name="_Toc31052"/>
      <w:bookmarkEnd w:id="177"/>
      <w:bookmarkStart w:id="178" w:name="_Toc25824"/>
      <w:bookmarkEnd w:id="178"/>
      <w:bookmarkStart w:id="179" w:name="_Toc32688"/>
      <w:bookmarkEnd w:id="179"/>
      <w:bookmarkStart w:id="180" w:name="_Toc9158"/>
      <w:bookmarkEnd w:id="180"/>
      <w:bookmarkStart w:id="181" w:name="_Toc23438"/>
      <w:bookmarkEnd w:id="181"/>
      <w:r>
        <w:rPr>
          <w:rFonts w:hint="eastAsia" w:ascii="仿宋" w:hAnsi="仿宋" w:eastAsia="仿宋" w:cs="仿宋"/>
          <w:color w:val="auto"/>
          <w:szCs w:val="24"/>
        </w:rPr>
        <w:t>响应文件的密封与标记</w:t>
      </w:r>
    </w:p>
    <w:p w14:paraId="312246DC">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投标人应按“</w:t>
      </w:r>
      <w:r>
        <w:rPr>
          <w:rFonts w:hint="eastAsia" w:ascii="仿宋" w:hAnsi="仿宋" w:eastAsia="仿宋" w:cs="仿宋"/>
          <w:b/>
          <w:color w:val="auto"/>
          <w:szCs w:val="21"/>
        </w:rPr>
        <w:t>投标人须知前附表</w:t>
      </w:r>
      <w:r>
        <w:rPr>
          <w:rFonts w:hint="eastAsia" w:ascii="仿宋" w:hAnsi="仿宋" w:eastAsia="仿宋" w:cs="仿宋"/>
          <w:color w:val="auto"/>
          <w:szCs w:val="21"/>
        </w:rPr>
        <w:t>”中规定的正本和副本的数量提交响应文件。</w:t>
      </w:r>
    </w:p>
    <w:p w14:paraId="373F58E3">
      <w:pPr>
        <w:numPr>
          <w:ilvl w:val="1"/>
          <w:numId w:val="16"/>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投标人应将正、副本文件一起加以密封，并在封贴处盖密封章（或公章）。</w:t>
      </w:r>
    </w:p>
    <w:p w14:paraId="7EA6CEDF">
      <w:pPr>
        <w:numPr>
          <w:ilvl w:val="1"/>
          <w:numId w:val="16"/>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响应文件袋的封面应注明项目名称、项目编号、投标人名称、详细通讯地址、邮政编码。</w:t>
      </w:r>
    </w:p>
    <w:p w14:paraId="1A445970">
      <w:pPr>
        <w:pStyle w:val="5"/>
        <w:numPr>
          <w:ilvl w:val="1"/>
          <w:numId w:val="16"/>
        </w:numPr>
        <w:spacing w:line="460" w:lineRule="exact"/>
        <w:rPr>
          <w:rFonts w:ascii="仿宋" w:hAnsi="仿宋" w:eastAsia="仿宋" w:cs="仿宋"/>
          <w:color w:val="auto"/>
        </w:rPr>
      </w:pPr>
      <w:r>
        <w:rPr>
          <w:rFonts w:hint="eastAsia" w:ascii="仿宋" w:hAnsi="仿宋" w:eastAsia="仿宋" w:cs="仿宋"/>
          <w:color w:val="auto"/>
          <w:szCs w:val="21"/>
        </w:rPr>
        <w:t>★ 投标人在提交响应文件时，未按本须知要求1.2、1.3密封、标记的，招标人不予接收。</w:t>
      </w:r>
    </w:p>
    <w:p w14:paraId="1F1CF742">
      <w:pPr>
        <w:pStyle w:val="9"/>
        <w:numPr>
          <w:ilvl w:val="0"/>
          <w:numId w:val="15"/>
        </w:numPr>
        <w:spacing w:before="0" w:after="0" w:line="460" w:lineRule="exact"/>
        <w:ind w:left="587"/>
        <w:jc w:val="both"/>
        <w:rPr>
          <w:rFonts w:ascii="仿宋" w:hAnsi="仿宋" w:eastAsia="仿宋" w:cs="仿宋"/>
          <w:color w:val="auto"/>
          <w:szCs w:val="24"/>
        </w:rPr>
      </w:pPr>
      <w:bookmarkStart w:id="182" w:name="_Toc9484"/>
      <w:bookmarkEnd w:id="182"/>
      <w:bookmarkStart w:id="183" w:name="_Toc14376"/>
      <w:bookmarkEnd w:id="183"/>
      <w:bookmarkStart w:id="184" w:name="_Toc27301"/>
      <w:bookmarkEnd w:id="184"/>
      <w:bookmarkStart w:id="185" w:name="_Toc18955"/>
      <w:bookmarkEnd w:id="185"/>
      <w:bookmarkStart w:id="186" w:name="_Toc13923"/>
      <w:bookmarkEnd w:id="186"/>
      <w:bookmarkStart w:id="187" w:name="_Toc27655"/>
      <w:bookmarkEnd w:id="187"/>
      <w:bookmarkStart w:id="188" w:name="_Toc13500"/>
      <w:bookmarkEnd w:id="188"/>
      <w:bookmarkStart w:id="189" w:name="_Toc23305"/>
      <w:bookmarkEnd w:id="189"/>
      <w:bookmarkStart w:id="190" w:name="_Toc25016"/>
      <w:bookmarkEnd w:id="190"/>
      <w:r>
        <w:rPr>
          <w:rFonts w:hint="eastAsia" w:ascii="仿宋" w:hAnsi="仿宋" w:eastAsia="仿宋" w:cs="仿宋"/>
          <w:color w:val="auto"/>
          <w:szCs w:val="24"/>
        </w:rPr>
        <w:t>递交响应文件的截止时间和地点</w:t>
      </w:r>
    </w:p>
    <w:p w14:paraId="7829F3AF">
      <w:pPr>
        <w:numPr>
          <w:ilvl w:val="1"/>
          <w:numId w:val="17"/>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响应文件的递交不得迟于“投标人须知前附表”规定的递交响应文件截止时间。</w:t>
      </w:r>
    </w:p>
    <w:p w14:paraId="4723537B">
      <w:pPr>
        <w:numPr>
          <w:ilvl w:val="1"/>
          <w:numId w:val="17"/>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投标人必须在规定时间内将响应文件递交到“投标人须知前附表”规定的地点。</w:t>
      </w:r>
    </w:p>
    <w:p w14:paraId="463BAFF0">
      <w:pPr>
        <w:numPr>
          <w:ilvl w:val="1"/>
          <w:numId w:val="17"/>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除“投标人须知前附表”另有规定外，投标人所递交的响应文件不予退还。</w:t>
      </w:r>
    </w:p>
    <w:p w14:paraId="374321B7">
      <w:pPr>
        <w:numPr>
          <w:ilvl w:val="1"/>
          <w:numId w:val="17"/>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逾期送达的或者未送达指定地点的响应文件，招标人不予受理。</w:t>
      </w:r>
    </w:p>
    <w:p w14:paraId="1E8D62D4">
      <w:pPr>
        <w:pStyle w:val="8"/>
        <w:numPr>
          <w:ilvl w:val="0"/>
          <w:numId w:val="0"/>
        </w:numPr>
        <w:spacing w:before="0" w:after="0" w:line="460" w:lineRule="exact"/>
        <w:ind w:left="425"/>
        <w:rPr>
          <w:rFonts w:ascii="仿宋" w:hAnsi="仿宋" w:eastAsia="仿宋" w:cs="仿宋"/>
          <w:color w:val="auto"/>
          <w:szCs w:val="28"/>
        </w:rPr>
      </w:pPr>
      <w:bookmarkStart w:id="191" w:name="_Toc21810"/>
      <w:bookmarkEnd w:id="191"/>
      <w:bookmarkStart w:id="192" w:name="_Toc21768"/>
      <w:bookmarkEnd w:id="192"/>
      <w:bookmarkStart w:id="193" w:name="_Toc14212"/>
      <w:bookmarkEnd w:id="193"/>
      <w:bookmarkStart w:id="194" w:name="_Toc29805"/>
      <w:bookmarkEnd w:id="194"/>
      <w:bookmarkStart w:id="195" w:name="_Toc18622"/>
      <w:bookmarkEnd w:id="195"/>
      <w:bookmarkStart w:id="196" w:name="_Toc17394"/>
      <w:bookmarkEnd w:id="196"/>
      <w:bookmarkStart w:id="197" w:name="_Toc458"/>
      <w:bookmarkEnd w:id="197"/>
      <w:r>
        <w:rPr>
          <w:rFonts w:hint="eastAsia" w:ascii="仿宋" w:hAnsi="仿宋" w:eastAsia="仿宋" w:cs="仿宋"/>
          <w:color w:val="auto"/>
          <w:szCs w:val="28"/>
        </w:rPr>
        <w:t>五、比选与评审</w:t>
      </w:r>
    </w:p>
    <w:p w14:paraId="771BC91F">
      <w:pPr>
        <w:pStyle w:val="9"/>
        <w:numPr>
          <w:ilvl w:val="0"/>
          <w:numId w:val="18"/>
        </w:numPr>
        <w:spacing w:before="0" w:after="0" w:line="460" w:lineRule="exact"/>
        <w:ind w:left="587"/>
        <w:jc w:val="both"/>
        <w:rPr>
          <w:rFonts w:ascii="仿宋" w:hAnsi="仿宋" w:eastAsia="仿宋" w:cs="仿宋"/>
          <w:color w:val="auto"/>
          <w:szCs w:val="24"/>
        </w:rPr>
      </w:pPr>
      <w:bookmarkStart w:id="198" w:name="_Toc11620"/>
      <w:bookmarkEnd w:id="198"/>
      <w:bookmarkStart w:id="199" w:name="_Toc25590"/>
      <w:bookmarkEnd w:id="199"/>
      <w:bookmarkStart w:id="200" w:name="_Toc1274"/>
      <w:bookmarkEnd w:id="200"/>
      <w:bookmarkStart w:id="201" w:name="_Toc18495"/>
      <w:bookmarkEnd w:id="201"/>
      <w:r>
        <w:rPr>
          <w:rFonts w:hint="eastAsia" w:ascii="仿宋" w:hAnsi="仿宋" w:eastAsia="仿宋" w:cs="仿宋"/>
          <w:color w:val="auto"/>
          <w:szCs w:val="24"/>
        </w:rPr>
        <w:t>比选</w:t>
      </w:r>
    </w:p>
    <w:p w14:paraId="6FB799A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招标人将在“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”规定的时间和地点进行比选，投标人的法定代表人或其委托代理人应按时参加。</w:t>
      </w:r>
    </w:p>
    <w:p w14:paraId="4A419C5D">
      <w:pPr>
        <w:pStyle w:val="9"/>
        <w:numPr>
          <w:ilvl w:val="0"/>
          <w:numId w:val="18"/>
        </w:numPr>
        <w:spacing w:before="0" w:after="0" w:line="460" w:lineRule="exact"/>
        <w:ind w:left="587"/>
        <w:jc w:val="both"/>
        <w:rPr>
          <w:rFonts w:ascii="仿宋" w:hAnsi="仿宋" w:eastAsia="仿宋" w:cs="仿宋"/>
          <w:color w:val="auto"/>
          <w:szCs w:val="24"/>
        </w:rPr>
      </w:pPr>
      <w:bookmarkStart w:id="202" w:name="_Toc21190"/>
      <w:bookmarkEnd w:id="202"/>
      <w:bookmarkStart w:id="203" w:name="_Toc14642"/>
      <w:bookmarkEnd w:id="203"/>
      <w:bookmarkStart w:id="204" w:name="_Toc13268"/>
      <w:bookmarkEnd w:id="204"/>
      <w:bookmarkStart w:id="205" w:name="_Toc13178"/>
      <w:bookmarkEnd w:id="205"/>
      <w:bookmarkStart w:id="206" w:name="_Toc11936"/>
      <w:bookmarkEnd w:id="206"/>
      <w:bookmarkStart w:id="207" w:name="_Toc6521"/>
      <w:bookmarkEnd w:id="207"/>
      <w:bookmarkStart w:id="208" w:name="_Toc22276"/>
      <w:bookmarkEnd w:id="208"/>
      <w:bookmarkStart w:id="209" w:name="_Toc5441"/>
      <w:bookmarkEnd w:id="209"/>
      <w:bookmarkStart w:id="210" w:name="_Toc1227"/>
      <w:bookmarkEnd w:id="210"/>
      <w:r>
        <w:rPr>
          <w:rFonts w:hint="eastAsia" w:ascii="仿宋" w:hAnsi="仿宋" w:eastAsia="仿宋" w:cs="仿宋"/>
          <w:color w:val="auto"/>
          <w:szCs w:val="24"/>
        </w:rPr>
        <w:t>评审</w:t>
      </w:r>
    </w:p>
    <w:p w14:paraId="35C977D2">
      <w:pPr>
        <w:numPr>
          <w:ilvl w:val="1"/>
          <w:numId w:val="19"/>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评审由比选小组负责。比选小组由评审专家3名</w:t>
      </w:r>
      <w:r>
        <w:rPr>
          <w:rFonts w:hint="eastAsia" w:ascii="仿宋" w:hAnsi="仿宋" w:eastAsia="仿宋" w:cs="仿宋"/>
          <w:color w:val="auto"/>
          <w:szCs w:val="21"/>
          <w:lang w:val="en-US" w:eastAsia="zh-CN"/>
        </w:rPr>
        <w:t>以上单数</w:t>
      </w:r>
      <w:r>
        <w:rPr>
          <w:rFonts w:hint="eastAsia" w:ascii="仿宋" w:hAnsi="仿宋" w:eastAsia="仿宋" w:cs="仿宋"/>
          <w:color w:val="auto"/>
          <w:szCs w:val="21"/>
        </w:rPr>
        <w:t>组成。</w:t>
      </w:r>
    </w:p>
    <w:p w14:paraId="1789B494">
      <w:pPr>
        <w:numPr>
          <w:ilvl w:val="1"/>
          <w:numId w:val="19"/>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比选小组及其成员不得有下列行为：</w:t>
      </w:r>
    </w:p>
    <w:p w14:paraId="2546A2C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（一）确定参与评标至评标结束前私自接触投标人；</w:t>
      </w:r>
    </w:p>
    <w:p w14:paraId="4B1DE13B">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（二）违反评标纪律发表倾向性意见或者征询招标人的倾向性意见；</w:t>
      </w:r>
    </w:p>
    <w:p w14:paraId="6200138E">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（三）对需要专业判断的主观评审因素协商评分；</w:t>
      </w:r>
    </w:p>
    <w:p w14:paraId="5BF3D56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（四）在评标过程中擅离职守，影响评标程序正常进行的；</w:t>
      </w:r>
    </w:p>
    <w:p w14:paraId="57EB3727">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（五）记录、复制或者带走任何评标资料；</w:t>
      </w:r>
    </w:p>
    <w:p w14:paraId="40607AB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（六）其他不遵守评标纪律的行为。</w:t>
      </w:r>
    </w:p>
    <w:p w14:paraId="511346B5">
      <w:pPr>
        <w:numPr>
          <w:ilvl w:val="1"/>
          <w:numId w:val="19"/>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w:t>
      </w:r>
    </w:p>
    <w:p w14:paraId="0AF73764">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比选小组对各投标人的响应文件进行详细评审。评标完成后，比选小组应当向招标人提交书面评标报告，按照得分由高到低的顺序推荐三名中标候选人。</w:t>
      </w:r>
    </w:p>
    <w:p w14:paraId="4717B59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14:paraId="5107F0FA">
      <w:pPr>
        <w:pStyle w:val="9"/>
        <w:numPr>
          <w:ilvl w:val="0"/>
          <w:numId w:val="18"/>
        </w:numPr>
        <w:spacing w:before="0" w:after="0" w:line="460" w:lineRule="exact"/>
        <w:ind w:left="587"/>
        <w:jc w:val="both"/>
        <w:rPr>
          <w:rFonts w:ascii="仿宋" w:hAnsi="仿宋" w:eastAsia="仿宋" w:cs="仿宋"/>
          <w:color w:val="auto"/>
          <w:szCs w:val="24"/>
        </w:rPr>
      </w:pPr>
      <w:bookmarkStart w:id="211" w:name="_Toc12930"/>
      <w:bookmarkEnd w:id="211"/>
      <w:bookmarkStart w:id="212" w:name="_Toc8818"/>
      <w:bookmarkEnd w:id="212"/>
      <w:bookmarkStart w:id="213" w:name="_Toc4484"/>
      <w:bookmarkEnd w:id="213"/>
      <w:bookmarkStart w:id="214" w:name="_Toc22867"/>
      <w:bookmarkEnd w:id="214"/>
      <w:bookmarkStart w:id="215" w:name="_Toc30781"/>
      <w:bookmarkEnd w:id="215"/>
      <w:bookmarkStart w:id="216" w:name="_Toc30516"/>
      <w:bookmarkEnd w:id="216"/>
      <w:bookmarkStart w:id="217" w:name="_Toc5391"/>
      <w:bookmarkEnd w:id="217"/>
      <w:bookmarkStart w:id="218" w:name="_Toc15189"/>
      <w:bookmarkEnd w:id="218"/>
      <w:bookmarkStart w:id="219" w:name="_Toc12685"/>
      <w:bookmarkEnd w:id="219"/>
      <w:r>
        <w:rPr>
          <w:rFonts w:hint="eastAsia" w:ascii="仿宋" w:hAnsi="仿宋" w:eastAsia="仿宋" w:cs="仿宋"/>
          <w:color w:val="auto"/>
          <w:szCs w:val="24"/>
        </w:rPr>
        <w:t>评审过程的保密</w:t>
      </w:r>
    </w:p>
    <w:p w14:paraId="6C055FD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14:paraId="15DC145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kern w:val="0"/>
          <w:szCs w:val="21"/>
        </w:rPr>
        <w:t>比选小组成员以及与评审工作有关的人员不得泄露评审情况以及评审过程中获悉的国家秘密、商业秘密。</w:t>
      </w:r>
    </w:p>
    <w:p w14:paraId="206ADC27">
      <w:pPr>
        <w:pStyle w:val="9"/>
        <w:numPr>
          <w:ilvl w:val="0"/>
          <w:numId w:val="18"/>
        </w:numPr>
        <w:spacing w:before="0" w:after="0" w:line="460" w:lineRule="exact"/>
        <w:ind w:left="587"/>
        <w:jc w:val="both"/>
        <w:rPr>
          <w:rFonts w:ascii="仿宋" w:hAnsi="仿宋" w:eastAsia="仿宋" w:cs="仿宋"/>
          <w:color w:val="auto"/>
          <w:szCs w:val="24"/>
        </w:rPr>
      </w:pPr>
      <w:bookmarkStart w:id="220" w:name="_Toc4767"/>
      <w:bookmarkEnd w:id="220"/>
      <w:bookmarkStart w:id="221" w:name="_Toc972"/>
      <w:bookmarkEnd w:id="221"/>
      <w:bookmarkStart w:id="222" w:name="_Toc4683"/>
      <w:bookmarkEnd w:id="222"/>
      <w:bookmarkStart w:id="223" w:name="_Toc13250"/>
      <w:bookmarkEnd w:id="223"/>
      <w:bookmarkStart w:id="224" w:name="_Toc26685"/>
      <w:bookmarkEnd w:id="224"/>
      <w:bookmarkStart w:id="225" w:name="_Toc2235"/>
      <w:bookmarkEnd w:id="225"/>
      <w:bookmarkStart w:id="226" w:name="_Toc21890"/>
      <w:bookmarkEnd w:id="226"/>
      <w:bookmarkStart w:id="227" w:name="_Toc11489"/>
      <w:bookmarkEnd w:id="227"/>
      <w:bookmarkStart w:id="228" w:name="_Toc25303"/>
      <w:bookmarkEnd w:id="228"/>
      <w:r>
        <w:rPr>
          <w:rFonts w:hint="eastAsia" w:ascii="仿宋" w:hAnsi="仿宋" w:eastAsia="仿宋" w:cs="仿宋"/>
          <w:color w:val="auto"/>
          <w:szCs w:val="24"/>
        </w:rPr>
        <w:t>出现下列情形之一的，项目终止：</w:t>
      </w:r>
    </w:p>
    <w:p w14:paraId="7B8CB5CD">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（1）最终符合条件参与比选的投标人不足3家的；</w:t>
      </w:r>
    </w:p>
    <w:p w14:paraId="7319F9B0">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（2）在比选过程中，比选小组认为所有投标人的报价均明显超过市场合理价位的；</w:t>
      </w:r>
    </w:p>
    <w:p w14:paraId="62A8F05F">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（3）在比选过程中，比选小组认为所有投标人的服务质量均不能满足招标人需求的；</w:t>
      </w:r>
    </w:p>
    <w:p w14:paraId="5DC86D6B">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rPr>
        <w:t>（4）出现影响项目公正的违法、违规行为的</w:t>
      </w:r>
      <w:r>
        <w:rPr>
          <w:rFonts w:hint="eastAsia" w:ascii="仿宋" w:hAnsi="仿宋" w:eastAsia="仿宋" w:cs="仿宋"/>
          <w:color w:val="auto"/>
          <w:szCs w:val="21"/>
          <w:lang w:eastAsia="zh-CN"/>
        </w:rPr>
        <w:t>；</w:t>
      </w:r>
    </w:p>
    <w:p w14:paraId="41E5FFE3">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lang w:val="en-US" w:eastAsia="zh-CN"/>
        </w:rPr>
        <w:t>（5）投标人的报价均超过了采购预算，采购人不能支付的。</w:t>
      </w:r>
    </w:p>
    <w:p w14:paraId="58C07B11">
      <w:pPr>
        <w:spacing w:line="460" w:lineRule="exact"/>
        <w:ind w:firstLine="420" w:firstLineChars="200"/>
        <w:jc w:val="left"/>
        <w:rPr>
          <w:rFonts w:ascii="仿宋" w:hAnsi="仿宋" w:eastAsia="仿宋" w:cs="仿宋"/>
          <w:color w:val="auto"/>
        </w:rPr>
      </w:pPr>
      <w:r>
        <w:rPr>
          <w:rFonts w:hint="eastAsia" w:ascii="仿宋" w:hAnsi="仿宋" w:eastAsia="仿宋" w:cs="仿宋"/>
          <w:color w:val="auto"/>
          <w:szCs w:val="21"/>
        </w:rPr>
        <w:t>（</w:t>
      </w:r>
      <w:r>
        <w:rPr>
          <w:rFonts w:hint="eastAsia" w:ascii="仿宋" w:hAnsi="仿宋" w:eastAsia="仿宋" w:cs="仿宋"/>
          <w:color w:val="auto"/>
          <w:szCs w:val="21"/>
          <w:lang w:val="en-US" w:eastAsia="zh-CN"/>
        </w:rPr>
        <w:t>6</w:t>
      </w:r>
      <w:r>
        <w:rPr>
          <w:rFonts w:hint="eastAsia" w:ascii="仿宋" w:hAnsi="仿宋" w:eastAsia="仿宋" w:cs="仿宋"/>
          <w:color w:val="auto"/>
          <w:szCs w:val="21"/>
        </w:rPr>
        <w:t>）因重大变故，项目任务取消的。</w:t>
      </w:r>
    </w:p>
    <w:p w14:paraId="14FDD44B">
      <w:pPr>
        <w:pStyle w:val="8"/>
        <w:numPr>
          <w:ilvl w:val="0"/>
          <w:numId w:val="0"/>
        </w:numPr>
        <w:spacing w:before="0" w:after="0" w:line="460" w:lineRule="exact"/>
        <w:ind w:left="425"/>
        <w:rPr>
          <w:rFonts w:ascii="仿宋" w:hAnsi="仿宋" w:eastAsia="仿宋" w:cs="仿宋"/>
          <w:color w:val="auto"/>
          <w:szCs w:val="28"/>
        </w:rPr>
      </w:pPr>
      <w:bookmarkStart w:id="229" w:name="_Toc21349"/>
      <w:bookmarkEnd w:id="229"/>
      <w:bookmarkStart w:id="230" w:name="_Toc14981"/>
      <w:bookmarkEnd w:id="230"/>
      <w:bookmarkStart w:id="231" w:name="_Toc7613"/>
      <w:bookmarkEnd w:id="231"/>
      <w:bookmarkStart w:id="232" w:name="_Toc10957"/>
      <w:bookmarkEnd w:id="232"/>
      <w:bookmarkStart w:id="233" w:name="_Toc16096"/>
      <w:bookmarkEnd w:id="233"/>
      <w:bookmarkStart w:id="234" w:name="_Toc6826"/>
      <w:bookmarkEnd w:id="234"/>
      <w:bookmarkStart w:id="235" w:name="_Toc28133"/>
      <w:bookmarkEnd w:id="235"/>
      <w:r>
        <w:rPr>
          <w:rFonts w:hint="eastAsia" w:ascii="仿宋" w:hAnsi="仿宋" w:eastAsia="仿宋" w:cs="仿宋"/>
          <w:color w:val="auto"/>
          <w:szCs w:val="28"/>
        </w:rPr>
        <w:t>六、中标结果</w:t>
      </w:r>
    </w:p>
    <w:p w14:paraId="6D06238D">
      <w:pPr>
        <w:pStyle w:val="9"/>
        <w:numPr>
          <w:ilvl w:val="0"/>
          <w:numId w:val="20"/>
        </w:numPr>
        <w:spacing w:before="0" w:after="0" w:line="460" w:lineRule="exact"/>
        <w:ind w:left="587"/>
        <w:jc w:val="both"/>
        <w:rPr>
          <w:rFonts w:ascii="仿宋" w:hAnsi="仿宋" w:eastAsia="仿宋" w:cs="仿宋"/>
          <w:color w:val="auto"/>
          <w:szCs w:val="24"/>
        </w:rPr>
      </w:pPr>
      <w:bookmarkStart w:id="236" w:name="_Toc17069"/>
      <w:bookmarkEnd w:id="236"/>
      <w:bookmarkStart w:id="237" w:name="_Toc23306"/>
      <w:bookmarkEnd w:id="237"/>
      <w:bookmarkStart w:id="238" w:name="_Toc11404"/>
      <w:bookmarkEnd w:id="238"/>
      <w:bookmarkStart w:id="239" w:name="_Toc19153"/>
      <w:bookmarkEnd w:id="239"/>
      <w:bookmarkStart w:id="240" w:name="_Toc31574"/>
      <w:bookmarkEnd w:id="240"/>
      <w:bookmarkStart w:id="241" w:name="_Toc11393"/>
      <w:bookmarkEnd w:id="241"/>
      <w:bookmarkStart w:id="242" w:name="_Toc5216"/>
      <w:bookmarkEnd w:id="242"/>
      <w:bookmarkStart w:id="243" w:name="_Toc11941"/>
      <w:bookmarkEnd w:id="243"/>
      <w:bookmarkStart w:id="244" w:name="_Toc19198"/>
      <w:bookmarkEnd w:id="244"/>
      <w:r>
        <w:rPr>
          <w:rFonts w:hint="eastAsia" w:ascii="仿宋" w:hAnsi="仿宋" w:eastAsia="仿宋" w:cs="仿宋"/>
          <w:color w:val="auto"/>
          <w:szCs w:val="24"/>
        </w:rPr>
        <w:t>中标通知书</w:t>
      </w:r>
    </w:p>
    <w:p w14:paraId="00823EA4">
      <w:pPr>
        <w:widowControl/>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中标候选人确定后</w:t>
      </w:r>
      <w:r>
        <w:rPr>
          <w:rFonts w:hint="eastAsia" w:ascii="仿宋" w:hAnsi="仿宋" w:eastAsia="仿宋" w:cs="仿宋"/>
          <w:color w:val="auto"/>
          <w:szCs w:val="21"/>
          <w:lang w:val="en-US" w:eastAsia="zh-CN"/>
        </w:rPr>
        <w:t>3</w:t>
      </w:r>
      <w:r>
        <w:rPr>
          <w:rFonts w:hint="eastAsia" w:ascii="仿宋" w:hAnsi="仿宋" w:eastAsia="仿宋" w:cs="仿宋"/>
          <w:color w:val="auto"/>
          <w:szCs w:val="21"/>
        </w:rPr>
        <w:t>个工作日内，中标结果由学校在官网上公告（https://www.ysdsjjy.com</w:t>
      </w:r>
      <w:r>
        <w:rPr>
          <w:rFonts w:hint="eastAsia" w:ascii="仿宋" w:hAnsi="仿宋" w:eastAsia="仿宋" w:cs="仿宋"/>
          <w:color w:val="auto"/>
          <w:szCs w:val="21"/>
          <w:lang w:eastAsia="zh-CN"/>
        </w:rPr>
        <w:t>）</w:t>
      </w:r>
      <w:r>
        <w:rPr>
          <w:rFonts w:hint="eastAsia" w:ascii="仿宋" w:hAnsi="仿宋" w:eastAsia="仿宋" w:cs="仿宋"/>
          <w:color w:val="auto"/>
          <w:szCs w:val="21"/>
        </w:rPr>
        <w:t>，同时向中标候选人发出中标通知书。中标通知书是合同的一个组成部分。</w:t>
      </w:r>
    </w:p>
    <w:p w14:paraId="2E7494E9">
      <w:pPr>
        <w:pStyle w:val="9"/>
        <w:numPr>
          <w:ilvl w:val="0"/>
          <w:numId w:val="20"/>
        </w:numPr>
        <w:spacing w:before="0" w:after="0" w:line="460" w:lineRule="exact"/>
        <w:ind w:left="587"/>
        <w:jc w:val="both"/>
        <w:rPr>
          <w:rFonts w:ascii="仿宋" w:hAnsi="仿宋" w:eastAsia="仿宋" w:cs="仿宋"/>
          <w:color w:val="auto"/>
          <w:szCs w:val="24"/>
        </w:rPr>
      </w:pPr>
      <w:bookmarkStart w:id="245" w:name="_Toc19046"/>
      <w:bookmarkEnd w:id="245"/>
      <w:bookmarkStart w:id="246" w:name="_Toc17823"/>
      <w:bookmarkEnd w:id="246"/>
      <w:bookmarkStart w:id="247" w:name="_Toc1527"/>
      <w:bookmarkEnd w:id="247"/>
      <w:bookmarkStart w:id="248" w:name="_Toc25757"/>
      <w:bookmarkEnd w:id="248"/>
      <w:bookmarkStart w:id="249" w:name="_Toc2512"/>
      <w:bookmarkEnd w:id="249"/>
      <w:bookmarkStart w:id="250" w:name="_Toc10585"/>
      <w:bookmarkEnd w:id="250"/>
      <w:bookmarkStart w:id="251" w:name="_Toc11932"/>
      <w:bookmarkEnd w:id="251"/>
      <w:bookmarkStart w:id="252" w:name="_Toc19516"/>
      <w:bookmarkEnd w:id="252"/>
      <w:bookmarkStart w:id="253" w:name="_Toc3972"/>
      <w:bookmarkEnd w:id="253"/>
      <w:r>
        <w:rPr>
          <w:rFonts w:hint="eastAsia" w:ascii="仿宋" w:hAnsi="仿宋" w:eastAsia="仿宋" w:cs="仿宋"/>
          <w:color w:val="auto"/>
          <w:szCs w:val="24"/>
        </w:rPr>
        <w:t>签订合同</w:t>
      </w:r>
    </w:p>
    <w:p w14:paraId="6C4595C6">
      <w:pPr>
        <w:numPr>
          <w:ilvl w:val="1"/>
          <w:numId w:val="6"/>
        </w:numPr>
        <w:spacing w:line="440" w:lineRule="exact"/>
        <w:ind w:left="420"/>
        <w:jc w:val="left"/>
        <w:rPr>
          <w:rFonts w:hint="eastAsia" w:ascii="仿宋" w:hAnsi="仿宋" w:eastAsia="仿宋" w:cs="仿宋"/>
          <w:color w:val="auto"/>
          <w:szCs w:val="21"/>
        </w:rPr>
      </w:pPr>
      <w:r>
        <w:rPr>
          <w:rFonts w:hint="eastAsia" w:ascii="仿宋" w:hAnsi="仿宋" w:eastAsia="仿宋" w:cs="仿宋"/>
          <w:color w:val="auto"/>
          <w:szCs w:val="21"/>
        </w:rPr>
        <w:t>中标候选人收到中标通知书后，按比选文件、响应文件及有关澄清承诺书的要求与招标人签订合同。</w:t>
      </w:r>
    </w:p>
    <w:p w14:paraId="4C664EC7">
      <w:pPr>
        <w:numPr>
          <w:ilvl w:val="1"/>
          <w:numId w:val="6"/>
        </w:num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中标候选人因不可抗力或者自身原因不能履行合同的，招标人可以与排位在中标候选人之后第</w:t>
      </w:r>
      <w:r>
        <w:rPr>
          <w:rFonts w:hint="eastAsia" w:ascii="仿宋" w:hAnsi="仿宋" w:eastAsia="仿宋" w:cs="仿宋"/>
          <w:color w:val="auto"/>
          <w:szCs w:val="21"/>
          <w:lang w:val="en-US" w:eastAsia="zh-CN"/>
        </w:rPr>
        <w:t>一</w:t>
      </w:r>
      <w:r>
        <w:rPr>
          <w:rFonts w:hint="eastAsia" w:ascii="仿宋" w:hAnsi="仿宋" w:eastAsia="仿宋" w:cs="仿宋"/>
          <w:color w:val="auto"/>
          <w:szCs w:val="21"/>
        </w:rPr>
        <w:t>位的中标候选人签订合同，以此类推；或重新开展招标活动。拒绝签订合同的中标候选人不得参加对本项目重新开展的招标活动。</w:t>
      </w:r>
    </w:p>
    <w:p w14:paraId="21049DE0">
      <w:pPr>
        <w:pStyle w:val="9"/>
        <w:numPr>
          <w:ilvl w:val="0"/>
          <w:numId w:val="20"/>
        </w:numPr>
        <w:spacing w:before="0" w:after="0" w:line="460" w:lineRule="exact"/>
        <w:ind w:left="587"/>
        <w:jc w:val="both"/>
        <w:rPr>
          <w:rFonts w:ascii="仿宋" w:hAnsi="仿宋" w:eastAsia="仿宋" w:cs="仿宋"/>
          <w:color w:val="auto"/>
          <w:szCs w:val="24"/>
        </w:rPr>
      </w:pPr>
      <w:bookmarkStart w:id="254" w:name="_Toc15762"/>
      <w:bookmarkEnd w:id="254"/>
      <w:bookmarkStart w:id="255" w:name="_Toc14719"/>
      <w:bookmarkEnd w:id="255"/>
      <w:bookmarkStart w:id="256" w:name="_Toc17314"/>
      <w:bookmarkEnd w:id="256"/>
      <w:bookmarkStart w:id="257" w:name="_Toc14055"/>
      <w:bookmarkEnd w:id="257"/>
      <w:bookmarkStart w:id="258" w:name="_Toc18050"/>
      <w:bookmarkEnd w:id="258"/>
      <w:bookmarkStart w:id="259" w:name="_Toc17514"/>
      <w:bookmarkEnd w:id="259"/>
      <w:bookmarkStart w:id="260" w:name="_Toc16228"/>
      <w:bookmarkEnd w:id="260"/>
      <w:bookmarkStart w:id="261" w:name="_Toc31142"/>
      <w:bookmarkEnd w:id="261"/>
      <w:bookmarkStart w:id="262" w:name="_Toc30314"/>
      <w:bookmarkEnd w:id="262"/>
      <w:r>
        <w:rPr>
          <w:rFonts w:hint="eastAsia" w:ascii="仿宋" w:hAnsi="仿宋" w:eastAsia="仿宋" w:cs="仿宋"/>
          <w:color w:val="auto"/>
          <w:szCs w:val="24"/>
        </w:rPr>
        <w:t>履约保证金（本项目不涉及）</w:t>
      </w:r>
    </w:p>
    <w:p w14:paraId="0CEB988D">
      <w:pPr>
        <w:pStyle w:val="8"/>
        <w:numPr>
          <w:ilvl w:val="0"/>
          <w:numId w:val="0"/>
        </w:numPr>
        <w:spacing w:before="0" w:after="0" w:line="460" w:lineRule="exact"/>
        <w:ind w:left="425"/>
        <w:rPr>
          <w:rFonts w:ascii="仿宋" w:hAnsi="仿宋" w:eastAsia="仿宋" w:cs="仿宋"/>
          <w:color w:val="auto"/>
          <w:szCs w:val="28"/>
        </w:rPr>
      </w:pPr>
      <w:bookmarkStart w:id="263" w:name="_Toc13463"/>
      <w:bookmarkEnd w:id="263"/>
      <w:bookmarkStart w:id="264" w:name="_Toc25522"/>
      <w:bookmarkEnd w:id="264"/>
      <w:bookmarkStart w:id="265" w:name="_Toc29379"/>
      <w:bookmarkEnd w:id="265"/>
      <w:bookmarkStart w:id="266" w:name="_Toc6757"/>
      <w:bookmarkEnd w:id="266"/>
      <w:bookmarkStart w:id="267" w:name="_Toc9866"/>
      <w:bookmarkEnd w:id="267"/>
      <w:bookmarkStart w:id="268" w:name="_Toc31586"/>
      <w:bookmarkEnd w:id="268"/>
      <w:bookmarkStart w:id="269" w:name="_Toc12266"/>
      <w:bookmarkEnd w:id="269"/>
      <w:r>
        <w:rPr>
          <w:rFonts w:hint="eastAsia" w:ascii="仿宋" w:hAnsi="仿宋" w:eastAsia="仿宋" w:cs="仿宋"/>
          <w:color w:val="auto"/>
          <w:szCs w:val="28"/>
        </w:rPr>
        <w:t>七、其他事项</w:t>
      </w:r>
    </w:p>
    <w:p w14:paraId="6B4FD702">
      <w:pPr>
        <w:pStyle w:val="9"/>
        <w:numPr>
          <w:ilvl w:val="0"/>
          <w:numId w:val="21"/>
        </w:numPr>
        <w:spacing w:before="0" w:after="0" w:line="460" w:lineRule="exact"/>
        <w:ind w:left="587"/>
        <w:jc w:val="both"/>
        <w:rPr>
          <w:rFonts w:ascii="仿宋" w:hAnsi="仿宋" w:eastAsia="仿宋" w:cs="仿宋"/>
          <w:color w:val="auto"/>
          <w:szCs w:val="24"/>
        </w:rPr>
      </w:pPr>
      <w:bookmarkStart w:id="270" w:name="_Toc12824"/>
      <w:bookmarkEnd w:id="270"/>
      <w:bookmarkStart w:id="271" w:name="_Toc13123"/>
      <w:bookmarkEnd w:id="271"/>
      <w:bookmarkStart w:id="272" w:name="_Toc21776"/>
      <w:bookmarkEnd w:id="272"/>
      <w:bookmarkStart w:id="273" w:name="_Toc1861"/>
      <w:bookmarkEnd w:id="273"/>
      <w:bookmarkStart w:id="274" w:name="_Toc19388"/>
      <w:bookmarkEnd w:id="274"/>
      <w:bookmarkStart w:id="275" w:name="_Toc32606"/>
      <w:bookmarkEnd w:id="275"/>
      <w:bookmarkStart w:id="276" w:name="_Toc17203"/>
      <w:bookmarkEnd w:id="276"/>
      <w:bookmarkStart w:id="277" w:name="_Toc5621"/>
      <w:bookmarkEnd w:id="277"/>
      <w:bookmarkStart w:id="278" w:name="_Toc9393"/>
      <w:bookmarkEnd w:id="278"/>
      <w:r>
        <w:rPr>
          <w:rFonts w:hint="eastAsia" w:ascii="仿宋" w:hAnsi="仿宋" w:eastAsia="仿宋" w:cs="仿宋"/>
          <w:color w:val="auto"/>
          <w:szCs w:val="24"/>
        </w:rPr>
        <w:t>质疑和投诉</w:t>
      </w:r>
    </w:p>
    <w:p w14:paraId="2462E374">
      <w:pPr>
        <w:numPr>
          <w:ilvl w:val="1"/>
          <w:numId w:val="22"/>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14:paraId="324D3AB1">
      <w:pPr>
        <w:numPr>
          <w:ilvl w:val="1"/>
          <w:numId w:val="22"/>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投标人提供的质疑书（如材料中有外文资料应同时附上中文译本）应当包括以下主要内容：</w:t>
      </w:r>
    </w:p>
    <w:p w14:paraId="7F935EAA">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（1）投标人的姓名或者名称、地址、邮编、联系人及联系电话；</w:t>
      </w:r>
    </w:p>
    <w:p w14:paraId="4289E3D0">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（2）质疑项目的名称、编号；</w:t>
      </w:r>
    </w:p>
    <w:p w14:paraId="0A94E24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（3）具体、明确的质疑事项和与质疑事项相关的请求；</w:t>
      </w:r>
    </w:p>
    <w:p w14:paraId="7EA3F9F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（4）事实依据；</w:t>
      </w:r>
    </w:p>
    <w:p w14:paraId="248C0F9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（5）必要的法律依据；</w:t>
      </w:r>
    </w:p>
    <w:p w14:paraId="4527B33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（6）提出质疑的日期。</w:t>
      </w:r>
    </w:p>
    <w:p w14:paraId="05F8E4EC">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投标人为自然人的，应当由本人签字；投标人为法人或者其他组织的，应当由法定代表人、主要负责人，或者其授权代表签字或者盖章，并加盖公章。</w:t>
      </w:r>
    </w:p>
    <w:p w14:paraId="14333C43">
      <w:pPr>
        <w:numPr>
          <w:ilvl w:val="1"/>
          <w:numId w:val="22"/>
        </w:numPr>
        <w:spacing w:line="440" w:lineRule="exact"/>
        <w:jc w:val="left"/>
        <w:rPr>
          <w:rFonts w:ascii="仿宋" w:hAnsi="仿宋" w:eastAsia="仿宋" w:cs="仿宋"/>
          <w:color w:val="auto"/>
          <w:szCs w:val="21"/>
        </w:rPr>
      </w:pPr>
      <w:r>
        <w:rPr>
          <w:rFonts w:hint="eastAsia" w:ascii="仿宋" w:hAnsi="仿宋" w:eastAsia="仿宋" w:cs="仿宋"/>
          <w:color w:val="auto"/>
          <w:szCs w:val="21"/>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14:paraId="38097F1F">
      <w:pPr>
        <w:numPr>
          <w:ilvl w:val="1"/>
          <w:numId w:val="22"/>
        </w:numPr>
        <w:spacing w:line="440" w:lineRule="exact"/>
        <w:jc w:val="left"/>
        <w:rPr>
          <w:rFonts w:ascii="仿宋" w:hAnsi="仿宋" w:eastAsia="仿宋" w:cs="仿宋"/>
          <w:color w:val="auto"/>
          <w:szCs w:val="21"/>
        </w:rPr>
      </w:pPr>
      <w:r>
        <w:rPr>
          <w:rFonts w:hint="eastAsia" w:ascii="仿宋" w:hAnsi="仿宋" w:eastAsia="仿宋" w:cs="仿宋"/>
          <w:color w:val="auto"/>
          <w:szCs w:val="21"/>
        </w:rPr>
        <w:t>招标人将在收到投标人的书面质疑后七个工作日内</w:t>
      </w:r>
      <w:r>
        <w:rPr>
          <w:rFonts w:hint="eastAsia" w:ascii="仿宋" w:hAnsi="仿宋" w:eastAsia="仿宋" w:cs="仿宋"/>
          <w:color w:val="auto"/>
          <w:szCs w:val="21"/>
          <w:lang w:eastAsia="zh-CN"/>
        </w:rPr>
        <w:t>作出</w:t>
      </w:r>
      <w:r>
        <w:rPr>
          <w:rFonts w:hint="eastAsia" w:ascii="仿宋" w:hAnsi="仿宋" w:eastAsia="仿宋" w:cs="仿宋"/>
          <w:color w:val="auto"/>
          <w:szCs w:val="21"/>
        </w:rPr>
        <w:t>答复，但答复的内容不涉及商业秘密。</w:t>
      </w:r>
    </w:p>
    <w:p w14:paraId="00CAB5D2">
      <w:pPr>
        <w:pStyle w:val="9"/>
        <w:numPr>
          <w:ilvl w:val="0"/>
          <w:numId w:val="21"/>
        </w:numPr>
        <w:spacing w:before="0" w:after="0" w:line="460" w:lineRule="exact"/>
        <w:ind w:left="587"/>
        <w:jc w:val="both"/>
        <w:rPr>
          <w:rFonts w:ascii="仿宋" w:hAnsi="仿宋" w:eastAsia="仿宋" w:cs="仿宋"/>
          <w:color w:val="auto"/>
          <w:szCs w:val="24"/>
        </w:rPr>
      </w:pPr>
      <w:bookmarkStart w:id="279" w:name="_Toc9162"/>
      <w:bookmarkEnd w:id="279"/>
      <w:r>
        <w:rPr>
          <w:rFonts w:hint="eastAsia" w:ascii="仿宋" w:hAnsi="仿宋" w:eastAsia="仿宋" w:cs="仿宋"/>
          <w:color w:val="auto"/>
          <w:szCs w:val="24"/>
        </w:rPr>
        <w:t>需要补充的其他内容</w:t>
      </w:r>
    </w:p>
    <w:p w14:paraId="5A7514D4">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需要补充的其他内容：见“投标人须知前附表”。</w:t>
      </w:r>
    </w:p>
    <w:p w14:paraId="0456BBF6">
      <w:pPr>
        <w:spacing w:line="600" w:lineRule="exact"/>
        <w:jc w:val="center"/>
        <w:outlineLvl w:val="0"/>
        <w:rPr>
          <w:rFonts w:ascii="仿宋" w:hAnsi="仿宋" w:eastAsia="仿宋" w:cs="仿宋"/>
          <w:b/>
          <w:bCs/>
          <w:color w:val="auto"/>
          <w:kern w:val="0"/>
          <w:sz w:val="52"/>
          <w:szCs w:val="32"/>
        </w:rPr>
      </w:pPr>
      <w:bookmarkStart w:id="280" w:name="_Toc26684"/>
      <w:bookmarkEnd w:id="280"/>
      <w:bookmarkStart w:id="281" w:name="_Toc4246"/>
      <w:bookmarkEnd w:id="281"/>
      <w:bookmarkStart w:id="282" w:name="_Toc18181"/>
      <w:bookmarkEnd w:id="282"/>
      <w:bookmarkStart w:id="283" w:name="_Toc432197798"/>
      <w:bookmarkEnd w:id="283"/>
      <w:r>
        <w:rPr>
          <w:rFonts w:hint="eastAsia" w:ascii="仿宋" w:hAnsi="仿宋" w:eastAsia="仿宋" w:cs="仿宋"/>
          <w:color w:val="auto"/>
          <w:sz w:val="24"/>
        </w:rPr>
        <w:br w:type="page"/>
      </w:r>
      <w:r>
        <w:rPr>
          <w:rFonts w:hint="eastAsia" w:ascii="仿宋" w:hAnsi="仿宋" w:eastAsia="仿宋" w:cs="仿宋"/>
          <w:b/>
          <w:bCs/>
          <w:color w:val="auto"/>
          <w:kern w:val="0"/>
          <w:sz w:val="52"/>
          <w:szCs w:val="32"/>
        </w:rPr>
        <w:t>第三章  响应文件格式</w:t>
      </w:r>
    </w:p>
    <w:p w14:paraId="2D9CDA89">
      <w:pPr>
        <w:pStyle w:val="5"/>
        <w:rPr>
          <w:rFonts w:ascii="仿宋" w:hAnsi="仿宋" w:eastAsia="仿宋" w:cs="仿宋"/>
          <w:color w:val="auto"/>
        </w:rPr>
      </w:pPr>
    </w:p>
    <w:p w14:paraId="10A2F9D6">
      <w:pPr>
        <w:spacing w:line="1100" w:lineRule="exact"/>
        <w:jc w:val="center"/>
        <w:rPr>
          <w:rFonts w:ascii="仿宋" w:hAnsi="仿宋" w:eastAsia="仿宋" w:cs="仿宋"/>
          <w:b/>
          <w:color w:val="auto"/>
          <w:sz w:val="56"/>
          <w:szCs w:val="56"/>
        </w:rPr>
        <w:sectPr>
          <w:headerReference r:id="rId4" w:type="default"/>
          <w:footerReference r:id="rId5" w:type="default"/>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 w:val="56"/>
          <w:szCs w:val="56"/>
        </w:rPr>
        <w:t xml:space="preserve"> </w:t>
      </w:r>
    </w:p>
    <w:p w14:paraId="27DA89CB">
      <w:pPr>
        <w:spacing w:line="360" w:lineRule="auto"/>
        <w:jc w:val="center"/>
        <w:rPr>
          <w:rFonts w:hint="eastAsia" w:ascii="仿宋" w:hAnsi="仿宋" w:eastAsia="仿宋" w:cs="仿宋"/>
          <w:b/>
          <w:color w:val="auto"/>
          <w:sz w:val="56"/>
          <w:szCs w:val="56"/>
        </w:rPr>
      </w:pPr>
      <w:r>
        <w:rPr>
          <w:rFonts w:hint="eastAsia" w:ascii="仿宋" w:hAnsi="仿宋" w:eastAsia="仿宋" w:cs="仿宋"/>
          <w:b/>
          <w:color w:val="auto"/>
          <w:sz w:val="56"/>
          <w:szCs w:val="56"/>
        </w:rPr>
        <w:t xml:space="preserve"> 云南师范大学附属世纪金源学校</w:t>
      </w:r>
    </w:p>
    <w:p w14:paraId="6A3E6397">
      <w:pPr>
        <w:pStyle w:val="13"/>
        <w:spacing w:before="156"/>
        <w:ind w:left="0" w:leftChars="0" w:firstLine="0" w:firstLineChars="0"/>
        <w:rPr>
          <w:rFonts w:ascii="仿宋" w:hAnsi="仿宋" w:eastAsia="仿宋" w:cs="仿宋"/>
          <w:color w:val="auto"/>
          <w:sz w:val="22"/>
          <w:szCs w:val="18"/>
        </w:rPr>
      </w:pPr>
      <w:r>
        <w:rPr>
          <w:rFonts w:hint="eastAsia" w:ascii="仿宋" w:hAnsi="仿宋" w:eastAsia="仿宋" w:cs="仿宋"/>
          <w:b/>
          <w:color w:val="auto"/>
          <w:sz w:val="52"/>
          <w:szCs w:val="52"/>
          <w:lang w:val="en-US" w:eastAsia="zh-CN"/>
        </w:rPr>
        <w:t>标准化考试视频监考摄像头增补安装项目</w:t>
      </w:r>
    </w:p>
    <w:p w14:paraId="2C24F6AA">
      <w:pPr>
        <w:pStyle w:val="13"/>
        <w:spacing w:before="156"/>
        <w:ind w:firstLine="480"/>
        <w:rPr>
          <w:rFonts w:ascii="仿宋" w:hAnsi="仿宋" w:eastAsia="仿宋" w:cs="仿宋"/>
          <w:color w:val="auto"/>
          <w:sz w:val="24"/>
        </w:rPr>
      </w:pPr>
    </w:p>
    <w:p w14:paraId="082F0490">
      <w:pPr>
        <w:spacing w:line="360" w:lineRule="auto"/>
        <w:jc w:val="center"/>
        <w:rPr>
          <w:rFonts w:ascii="仿宋" w:hAnsi="仿宋" w:eastAsia="仿宋" w:cs="仿宋"/>
          <w:color w:val="auto"/>
          <w:sz w:val="24"/>
        </w:rPr>
      </w:pPr>
    </w:p>
    <w:p w14:paraId="3E13D5D5">
      <w:pPr>
        <w:spacing w:line="360" w:lineRule="auto"/>
        <w:jc w:val="center"/>
        <w:rPr>
          <w:rFonts w:ascii="仿宋" w:hAnsi="仿宋" w:eastAsia="仿宋" w:cs="仿宋"/>
          <w:color w:val="auto"/>
          <w:sz w:val="24"/>
        </w:rPr>
      </w:pPr>
    </w:p>
    <w:p w14:paraId="02723D38">
      <w:pPr>
        <w:spacing w:line="360" w:lineRule="auto"/>
        <w:jc w:val="center"/>
        <w:rPr>
          <w:rFonts w:ascii="仿宋" w:hAnsi="仿宋" w:eastAsia="仿宋" w:cs="仿宋"/>
          <w:color w:val="auto"/>
          <w:sz w:val="24"/>
        </w:rPr>
      </w:pPr>
    </w:p>
    <w:p w14:paraId="30C46132">
      <w:pPr>
        <w:pStyle w:val="20"/>
        <w:spacing w:line="360" w:lineRule="auto"/>
        <w:jc w:val="center"/>
        <w:rPr>
          <w:rFonts w:ascii="仿宋" w:hAnsi="仿宋" w:eastAsia="仿宋" w:cs="仿宋"/>
          <w:b/>
          <w:color w:val="auto"/>
          <w:sz w:val="84"/>
          <w:szCs w:val="84"/>
        </w:rPr>
      </w:pPr>
      <w:r>
        <w:rPr>
          <w:rFonts w:hint="eastAsia" w:ascii="仿宋" w:hAnsi="仿宋" w:eastAsia="仿宋" w:cs="仿宋"/>
          <w:b/>
          <w:color w:val="auto"/>
          <w:sz w:val="84"/>
          <w:szCs w:val="84"/>
        </w:rPr>
        <w:t>响 应 文 件</w:t>
      </w:r>
    </w:p>
    <w:p w14:paraId="0142A8BE">
      <w:pPr>
        <w:pStyle w:val="20"/>
        <w:spacing w:line="360" w:lineRule="auto"/>
        <w:jc w:val="center"/>
        <w:rPr>
          <w:rFonts w:ascii="仿宋" w:hAnsi="仿宋" w:eastAsia="仿宋" w:cs="仿宋"/>
          <w:b/>
          <w:color w:val="auto"/>
          <w:sz w:val="36"/>
          <w:szCs w:val="36"/>
          <w:u w:val="single"/>
        </w:rPr>
      </w:pPr>
      <w:r>
        <w:rPr>
          <w:rFonts w:hint="eastAsia" w:ascii="仿宋" w:hAnsi="仿宋" w:eastAsia="仿宋" w:cs="仿宋"/>
          <w:b/>
          <w:color w:val="auto"/>
          <w:sz w:val="36"/>
          <w:szCs w:val="36"/>
        </w:rPr>
        <w:t xml:space="preserve">  </w:t>
      </w:r>
    </w:p>
    <w:p w14:paraId="4A43847E">
      <w:pPr>
        <w:spacing w:line="360" w:lineRule="auto"/>
        <w:jc w:val="center"/>
        <w:rPr>
          <w:rFonts w:ascii="仿宋" w:hAnsi="仿宋" w:eastAsia="仿宋" w:cs="仿宋"/>
          <w:color w:val="auto"/>
          <w:sz w:val="24"/>
        </w:rPr>
      </w:pPr>
    </w:p>
    <w:p w14:paraId="6BE6E65D">
      <w:pPr>
        <w:spacing w:line="360" w:lineRule="auto"/>
        <w:jc w:val="center"/>
        <w:rPr>
          <w:rFonts w:ascii="仿宋" w:hAnsi="仿宋" w:eastAsia="仿宋" w:cs="仿宋"/>
          <w:color w:val="auto"/>
          <w:sz w:val="24"/>
        </w:rPr>
      </w:pPr>
    </w:p>
    <w:p w14:paraId="2A217E1C">
      <w:pPr>
        <w:spacing w:line="360" w:lineRule="auto"/>
        <w:jc w:val="center"/>
        <w:rPr>
          <w:rFonts w:ascii="仿宋" w:hAnsi="仿宋" w:eastAsia="仿宋" w:cs="仿宋"/>
          <w:color w:val="auto"/>
          <w:sz w:val="24"/>
        </w:rPr>
      </w:pPr>
    </w:p>
    <w:p w14:paraId="0C217E7C">
      <w:pPr>
        <w:spacing w:line="360" w:lineRule="auto"/>
        <w:rPr>
          <w:rFonts w:ascii="仿宋" w:hAnsi="仿宋" w:eastAsia="仿宋" w:cs="仿宋"/>
          <w:color w:val="auto"/>
          <w:sz w:val="24"/>
        </w:rPr>
      </w:pPr>
    </w:p>
    <w:p w14:paraId="22BA2DCC">
      <w:pPr>
        <w:spacing w:line="360" w:lineRule="auto"/>
        <w:rPr>
          <w:rFonts w:ascii="仿宋" w:hAnsi="仿宋" w:eastAsia="仿宋" w:cs="仿宋"/>
          <w:color w:val="auto"/>
          <w:sz w:val="24"/>
        </w:rPr>
      </w:pPr>
    </w:p>
    <w:p w14:paraId="7A9E3565">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投标人：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（盖单位公章）</w:t>
      </w:r>
    </w:p>
    <w:p w14:paraId="1586E892">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法定代表人或其委托代理人：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（签字或盖章）</w:t>
      </w:r>
    </w:p>
    <w:p w14:paraId="6D356883">
      <w:pPr>
        <w:spacing w:line="900" w:lineRule="exact"/>
        <w:ind w:firstLine="2340" w:firstLineChars="975"/>
        <w:rPr>
          <w:rFonts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年</w:t>
      </w:r>
      <w:r>
        <w:rPr>
          <w:rFonts w:hint="eastAsia" w:ascii="仿宋" w:hAnsi="仿宋" w:eastAsia="仿宋" w:cs="仿宋"/>
          <w:color w:val="auto"/>
          <w:sz w:val="24"/>
          <w:u w:val="single"/>
        </w:rPr>
        <w:t xml:space="preserve">       </w:t>
      </w:r>
      <w:r>
        <w:rPr>
          <w:rFonts w:hint="eastAsia" w:ascii="仿宋" w:hAnsi="仿宋" w:eastAsia="仿宋" w:cs="仿宋"/>
          <w:color w:val="auto"/>
          <w:sz w:val="24"/>
        </w:rPr>
        <w:t>月</w:t>
      </w:r>
      <w:r>
        <w:rPr>
          <w:rFonts w:hint="eastAsia" w:ascii="仿宋" w:hAnsi="仿宋" w:eastAsia="仿宋" w:cs="仿宋"/>
          <w:color w:val="auto"/>
          <w:sz w:val="24"/>
          <w:u w:val="single"/>
        </w:rPr>
        <w:t xml:space="preserve">       </w:t>
      </w:r>
      <w:r>
        <w:rPr>
          <w:rFonts w:hint="eastAsia" w:ascii="仿宋" w:hAnsi="仿宋" w:eastAsia="仿宋" w:cs="仿宋"/>
          <w:color w:val="auto"/>
          <w:sz w:val="24"/>
        </w:rPr>
        <w:t>日</w:t>
      </w:r>
    </w:p>
    <w:p w14:paraId="502B1060">
      <w:pPr>
        <w:rPr>
          <w:rFonts w:ascii="仿宋" w:hAnsi="仿宋" w:eastAsia="仿宋" w:cs="仿宋"/>
          <w:color w:val="auto"/>
        </w:rPr>
      </w:pPr>
      <w:r>
        <w:rPr>
          <w:rFonts w:hint="eastAsia" w:ascii="仿宋" w:hAnsi="仿宋" w:eastAsia="仿宋" w:cs="仿宋"/>
          <w:color w:val="auto"/>
        </w:rPr>
        <w:br w:type="page"/>
      </w:r>
    </w:p>
    <w:p w14:paraId="05AEB8A3">
      <w:pPr>
        <w:spacing w:line="360" w:lineRule="auto"/>
        <w:jc w:val="center"/>
        <w:outlineLvl w:val="1"/>
        <w:rPr>
          <w:rFonts w:ascii="仿宋" w:hAnsi="仿宋" w:eastAsia="仿宋" w:cs="仿宋"/>
          <w:color w:val="auto"/>
          <w:sz w:val="24"/>
        </w:rPr>
      </w:pPr>
      <w:bookmarkStart w:id="284" w:name="_Toc7981"/>
      <w:bookmarkEnd w:id="284"/>
      <w:bookmarkStart w:id="285" w:name="_Toc17481"/>
      <w:bookmarkEnd w:id="285"/>
      <w:r>
        <w:rPr>
          <w:rFonts w:hint="eastAsia" w:ascii="仿宋" w:hAnsi="仿宋" w:eastAsia="仿宋" w:cs="仿宋"/>
          <w:b/>
          <w:bCs/>
          <w:color w:val="auto"/>
          <w:sz w:val="32"/>
          <w:szCs w:val="32"/>
        </w:rPr>
        <w:t>开标一览表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3D07523D">
        <w:trPr>
          <w:trHeight w:val="555" w:hRule="atLeast"/>
          <w:jc w:val="center"/>
        </w:trPr>
        <w:tc>
          <w:tcPr>
            <w:tcW w:w="2943" w:type="dxa"/>
            <w:vAlign w:val="center"/>
          </w:tcPr>
          <w:p w14:paraId="3D9B0E15">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784BB29C">
            <w:pPr>
              <w:tabs>
                <w:tab w:val="left" w:pos="720"/>
                <w:tab w:val="left" w:pos="8295"/>
              </w:tabs>
              <w:spacing w:line="400" w:lineRule="exact"/>
              <w:rPr>
                <w:rFonts w:ascii="仿宋" w:hAnsi="仿宋" w:eastAsia="仿宋" w:cs="仿宋"/>
                <w:color w:val="auto"/>
                <w:szCs w:val="21"/>
              </w:rPr>
            </w:pPr>
          </w:p>
        </w:tc>
      </w:tr>
      <w:tr w14:paraId="44291259">
        <w:trPr>
          <w:trHeight w:val="1349" w:hRule="atLeast"/>
          <w:jc w:val="center"/>
        </w:trPr>
        <w:tc>
          <w:tcPr>
            <w:tcW w:w="2943" w:type="dxa"/>
            <w:vAlign w:val="center"/>
          </w:tcPr>
          <w:p w14:paraId="7E0D7B6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732696BD">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91268F1">
            <w:pPr>
              <w:pStyle w:val="44"/>
              <w:rPr>
                <w:rFonts w:hint="eastAsia"/>
                <w:color w:val="auto"/>
                <w:lang w:eastAsia="zh-CN"/>
              </w:rPr>
            </w:pPr>
          </w:p>
          <w:p w14:paraId="1182F8FD">
            <w:pPr>
              <w:pStyle w:val="5"/>
              <w:rPr>
                <w:rFonts w:ascii="仿宋" w:hAnsi="仿宋" w:eastAsia="仿宋" w:cs="仿宋"/>
                <w:color w:val="auto"/>
              </w:rPr>
            </w:pPr>
            <w:r>
              <w:rPr>
                <w:rFonts w:hint="eastAsia" w:ascii="仿宋" w:hAnsi="仿宋" w:eastAsia="仿宋" w:cs="仿宋"/>
                <w:color w:val="auto"/>
                <w:szCs w:val="21"/>
              </w:rPr>
              <w:t>小写：</w:t>
            </w:r>
          </w:p>
        </w:tc>
      </w:tr>
      <w:tr w14:paraId="2737862A">
        <w:trPr>
          <w:trHeight w:val="754" w:hRule="atLeast"/>
          <w:jc w:val="center"/>
        </w:trPr>
        <w:tc>
          <w:tcPr>
            <w:tcW w:w="2943" w:type="dxa"/>
            <w:vAlign w:val="center"/>
          </w:tcPr>
          <w:p w14:paraId="3487A71E">
            <w:pPr>
              <w:jc w:val="center"/>
              <w:rPr>
                <w:rFonts w:hint="eastAsia" w:ascii="仿宋" w:hAnsi="仿宋" w:eastAsia="仿宋" w:cs="仿宋"/>
                <w:bCs/>
                <w:color w:val="auto"/>
                <w:szCs w:val="21"/>
                <w:lang w:eastAsia="zh-CN"/>
              </w:rPr>
            </w:pPr>
            <w:r>
              <w:rPr>
                <w:rFonts w:hint="eastAsia" w:ascii="仿宋" w:hAnsi="仿宋" w:eastAsia="仿宋" w:cs="仿宋"/>
                <w:bCs/>
                <w:color w:val="auto"/>
                <w:szCs w:val="21"/>
                <w:lang w:val="en-US" w:eastAsia="zh-CN"/>
              </w:rPr>
              <w:t>质保期</w:t>
            </w:r>
          </w:p>
        </w:tc>
        <w:tc>
          <w:tcPr>
            <w:tcW w:w="6061" w:type="dxa"/>
            <w:vAlign w:val="center"/>
          </w:tcPr>
          <w:p w14:paraId="4E8A97CE">
            <w:pPr>
              <w:tabs>
                <w:tab w:val="left" w:pos="720"/>
                <w:tab w:val="left" w:pos="8295"/>
              </w:tabs>
              <w:spacing w:line="400" w:lineRule="exact"/>
              <w:rPr>
                <w:rFonts w:ascii="仿宋" w:hAnsi="仿宋" w:eastAsia="仿宋" w:cs="仿宋"/>
                <w:color w:val="auto"/>
                <w:szCs w:val="21"/>
              </w:rPr>
            </w:pPr>
          </w:p>
        </w:tc>
      </w:tr>
      <w:tr w14:paraId="48056D14">
        <w:trPr>
          <w:trHeight w:val="761" w:hRule="atLeast"/>
          <w:jc w:val="center"/>
        </w:trPr>
        <w:tc>
          <w:tcPr>
            <w:tcW w:w="2943" w:type="dxa"/>
            <w:vAlign w:val="center"/>
          </w:tcPr>
          <w:p w14:paraId="0CC5CE12">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38D0FE17">
            <w:pPr>
              <w:tabs>
                <w:tab w:val="left" w:pos="720"/>
                <w:tab w:val="left" w:pos="8295"/>
              </w:tabs>
              <w:spacing w:line="400" w:lineRule="exact"/>
              <w:rPr>
                <w:rFonts w:ascii="仿宋" w:hAnsi="仿宋" w:eastAsia="仿宋" w:cs="仿宋"/>
                <w:color w:val="auto"/>
                <w:szCs w:val="21"/>
              </w:rPr>
            </w:pPr>
          </w:p>
        </w:tc>
      </w:tr>
      <w:tr w14:paraId="46EDB97A">
        <w:trPr>
          <w:trHeight w:val="807" w:hRule="atLeast"/>
          <w:jc w:val="center"/>
        </w:trPr>
        <w:tc>
          <w:tcPr>
            <w:tcW w:w="2943" w:type="dxa"/>
            <w:vAlign w:val="center"/>
          </w:tcPr>
          <w:p w14:paraId="0576C7FF">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6CC6EC7F">
            <w:pPr>
              <w:tabs>
                <w:tab w:val="left" w:pos="720"/>
                <w:tab w:val="left" w:pos="8295"/>
              </w:tabs>
              <w:spacing w:line="400" w:lineRule="exact"/>
              <w:rPr>
                <w:rFonts w:ascii="仿宋" w:hAnsi="仿宋" w:eastAsia="仿宋" w:cs="仿宋"/>
                <w:color w:val="auto"/>
                <w:szCs w:val="21"/>
              </w:rPr>
            </w:pPr>
          </w:p>
        </w:tc>
      </w:tr>
      <w:tr w14:paraId="7B2329D5">
        <w:trPr>
          <w:trHeight w:val="2011" w:hRule="atLeast"/>
          <w:jc w:val="center"/>
        </w:trPr>
        <w:tc>
          <w:tcPr>
            <w:tcW w:w="9004" w:type="dxa"/>
            <w:gridSpan w:val="2"/>
            <w:vAlign w:val="center"/>
          </w:tcPr>
          <w:p w14:paraId="0631E01E">
            <w:pPr>
              <w:tabs>
                <w:tab w:val="left" w:pos="720"/>
                <w:tab w:val="left" w:pos="8295"/>
              </w:tabs>
              <w:spacing w:line="400" w:lineRule="exact"/>
              <w:rPr>
                <w:rFonts w:ascii="仿宋" w:hAnsi="仿宋" w:eastAsia="仿宋" w:cs="仿宋"/>
                <w:color w:val="auto"/>
                <w:szCs w:val="21"/>
              </w:rPr>
            </w:pPr>
          </w:p>
          <w:p w14:paraId="50E61AE2">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059E8C6B">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00E2FD30">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964611D">
            <w:pPr>
              <w:tabs>
                <w:tab w:val="left" w:pos="720"/>
                <w:tab w:val="left" w:pos="8295"/>
              </w:tabs>
              <w:spacing w:line="400" w:lineRule="exact"/>
              <w:rPr>
                <w:rFonts w:ascii="仿宋" w:hAnsi="仿宋" w:eastAsia="仿宋" w:cs="仿宋"/>
                <w:color w:val="auto"/>
                <w:szCs w:val="21"/>
              </w:rPr>
            </w:pPr>
          </w:p>
        </w:tc>
      </w:tr>
    </w:tbl>
    <w:p w14:paraId="526729A3">
      <w:pPr>
        <w:pStyle w:val="20"/>
        <w:spacing w:line="360" w:lineRule="auto"/>
        <w:rPr>
          <w:rFonts w:ascii="仿宋" w:hAnsi="仿宋" w:eastAsia="仿宋" w:cs="仿宋"/>
          <w:color w:val="auto"/>
          <w:szCs w:val="21"/>
        </w:rPr>
      </w:pPr>
    </w:p>
    <w:p w14:paraId="49E97BF3">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093CC9C8">
      <w:pPr>
        <w:spacing w:line="360" w:lineRule="auto"/>
        <w:rPr>
          <w:rFonts w:ascii="仿宋" w:hAnsi="仿宋" w:eastAsia="仿宋" w:cs="仿宋"/>
          <w:b/>
          <w:bCs/>
          <w:color w:val="auto"/>
        </w:rPr>
      </w:pPr>
      <w:r>
        <w:rPr>
          <w:rFonts w:hint="eastAsia" w:ascii="仿宋" w:hAnsi="仿宋" w:eastAsia="仿宋" w:cs="仿宋"/>
          <w:color w:val="auto"/>
          <w:sz w:val="24"/>
        </w:rPr>
        <w:t xml:space="preserve">      </w:t>
      </w:r>
      <w:r>
        <w:rPr>
          <w:rFonts w:hint="eastAsia" w:ascii="仿宋" w:hAnsi="仿宋" w:eastAsia="仿宋" w:cs="仿宋"/>
          <w:color w:val="auto"/>
          <w:sz w:val="24"/>
          <w:lang w:eastAsia="zh-CN"/>
        </w:rPr>
        <w:t>2.</w:t>
      </w:r>
      <w:r>
        <w:rPr>
          <w:rFonts w:hint="eastAsia" w:ascii="仿宋" w:hAnsi="仿宋" w:eastAsia="仿宋" w:cs="仿宋"/>
          <w:color w:val="auto"/>
          <w:sz w:val="24"/>
        </w:rPr>
        <w:t>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7AA6BEF5">
      <w:pPr>
        <w:spacing w:line="360" w:lineRule="auto"/>
        <w:jc w:val="left"/>
        <w:rPr>
          <w:rFonts w:ascii="仿宋" w:hAnsi="仿宋" w:eastAsia="仿宋" w:cs="仿宋"/>
          <w:color w:val="auto"/>
          <w:szCs w:val="21"/>
        </w:rPr>
      </w:pPr>
    </w:p>
    <w:p w14:paraId="20A1C23C">
      <w:pPr>
        <w:pStyle w:val="44"/>
        <w:outlineLvl w:val="9"/>
        <w:rPr>
          <w:rFonts w:ascii="仿宋" w:hAnsi="仿宋" w:eastAsia="仿宋" w:cs="仿宋"/>
          <w:color w:val="auto"/>
        </w:rPr>
      </w:pPr>
    </w:p>
    <w:p w14:paraId="5FB40BFF">
      <w:pPr>
        <w:tabs>
          <w:tab w:val="left" w:pos="1021"/>
        </w:tabs>
        <w:ind w:left="425"/>
        <w:jc w:val="center"/>
        <w:rPr>
          <w:rFonts w:ascii="仿宋" w:hAnsi="仿宋" w:eastAsia="仿宋" w:cs="仿宋"/>
          <w:color w:val="auto"/>
          <w:sz w:val="32"/>
        </w:rPr>
      </w:pPr>
      <w:bookmarkStart w:id="286" w:name="_Toc28245"/>
      <w:bookmarkEnd w:id="286"/>
      <w:bookmarkStart w:id="287" w:name="_Toc32739"/>
      <w:bookmarkEnd w:id="287"/>
      <w:bookmarkStart w:id="288" w:name="_Toc7489"/>
      <w:bookmarkEnd w:id="288"/>
      <w:bookmarkStart w:id="289" w:name="_Toc7178"/>
      <w:bookmarkEnd w:id="289"/>
      <w:bookmarkStart w:id="290" w:name="_Toc5"/>
      <w:bookmarkEnd w:id="290"/>
      <w:bookmarkStart w:id="291" w:name="_Toc24395"/>
      <w:bookmarkEnd w:id="291"/>
      <w:r>
        <w:rPr>
          <w:rFonts w:hint="eastAsia" w:ascii="仿宋" w:hAnsi="仿宋" w:eastAsia="仿宋" w:cs="仿宋"/>
          <w:color w:val="auto"/>
          <w:sz w:val="24"/>
        </w:rPr>
        <w:br w:type="page"/>
      </w:r>
      <w:r>
        <w:rPr>
          <w:rFonts w:hint="eastAsia" w:ascii="仿宋" w:hAnsi="仿宋" w:eastAsia="仿宋" w:cs="仿宋"/>
          <w:color w:val="auto"/>
          <w:sz w:val="32"/>
        </w:rPr>
        <w:t>响应文件目录</w:t>
      </w:r>
    </w:p>
    <w:p w14:paraId="1B8A8182">
      <w:pPr>
        <w:spacing w:line="360" w:lineRule="auto"/>
        <w:jc w:val="left"/>
        <w:rPr>
          <w:rFonts w:ascii="仿宋" w:hAnsi="仿宋" w:eastAsia="仿宋" w:cs="仿宋"/>
          <w:b/>
          <w:color w:val="auto"/>
          <w:szCs w:val="21"/>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Cs w:val="21"/>
        </w:rPr>
        <w:t>注：格式自拟，响应文件内容须按照目录顺序进行装订，并每页连续标注页码</w:t>
      </w:r>
    </w:p>
    <w:p w14:paraId="30FFF912">
      <w:pPr>
        <w:spacing w:line="480" w:lineRule="auto"/>
        <w:jc w:val="center"/>
        <w:outlineLvl w:val="1"/>
        <w:rPr>
          <w:rFonts w:ascii="仿宋" w:hAnsi="仿宋" w:eastAsia="仿宋" w:cs="仿宋"/>
          <w:b/>
          <w:bCs/>
          <w:color w:val="auto"/>
          <w:sz w:val="32"/>
          <w:szCs w:val="28"/>
        </w:rPr>
      </w:pPr>
      <w:bookmarkStart w:id="292" w:name="_Toc18343"/>
      <w:bookmarkEnd w:id="292"/>
      <w:r>
        <w:rPr>
          <w:rFonts w:hint="eastAsia" w:ascii="仿宋" w:hAnsi="仿宋" w:eastAsia="仿宋" w:cs="仿宋"/>
          <w:b/>
          <w:bCs/>
          <w:color w:val="auto"/>
          <w:sz w:val="32"/>
          <w:szCs w:val="28"/>
        </w:rPr>
        <w:t>第一部分 投标文件资格审查部分格式</w:t>
      </w:r>
    </w:p>
    <w:p w14:paraId="13F11282">
      <w:pPr>
        <w:pStyle w:val="9"/>
        <w:numPr>
          <w:ilvl w:val="2"/>
          <w:numId w:val="0"/>
        </w:numPr>
        <w:spacing w:before="156" w:beforeLines="50" w:after="156" w:afterLines="50"/>
        <w:rPr>
          <w:rFonts w:ascii="仿宋" w:hAnsi="仿宋" w:eastAsia="仿宋" w:cs="仿宋"/>
          <w:b w:val="0"/>
          <w:color w:val="auto"/>
          <w:sz w:val="28"/>
          <w:szCs w:val="28"/>
        </w:rPr>
      </w:pPr>
      <w:bookmarkStart w:id="293" w:name="_Toc6124"/>
      <w:bookmarkEnd w:id="293"/>
      <w:bookmarkStart w:id="294" w:name="_Toc6392"/>
      <w:bookmarkEnd w:id="294"/>
      <w:bookmarkStart w:id="295" w:name="_Toc17431"/>
      <w:bookmarkEnd w:id="295"/>
      <w:bookmarkStart w:id="296" w:name="_Toc366144105"/>
      <w:bookmarkEnd w:id="296"/>
      <w:bookmarkStart w:id="297" w:name="_Toc10873"/>
      <w:bookmarkEnd w:id="297"/>
      <w:r>
        <w:rPr>
          <w:rFonts w:hint="eastAsia" w:ascii="仿宋" w:hAnsi="仿宋" w:eastAsia="仿宋" w:cs="仿宋"/>
          <w:b w:val="0"/>
          <w:color w:val="auto"/>
          <w:sz w:val="28"/>
          <w:szCs w:val="28"/>
        </w:rPr>
        <w:t>一、投标人基本情况表</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14:paraId="36F8EA5A">
        <w:trPr>
          <w:trHeight w:val="639" w:hRule="atLeast"/>
        </w:trPr>
        <w:tc>
          <w:tcPr>
            <w:tcW w:w="1959" w:type="dxa"/>
            <w:vAlign w:val="center"/>
          </w:tcPr>
          <w:p w14:paraId="7DA9B88E">
            <w:pPr>
              <w:autoSpaceDE w:val="0"/>
              <w:autoSpaceDN w:val="0"/>
              <w:adjustRightInd w:val="0"/>
              <w:spacing w:line="440" w:lineRule="exact"/>
              <w:jc w:val="center"/>
              <w:rPr>
                <w:rFonts w:ascii="仿宋" w:hAnsi="仿宋" w:eastAsia="仿宋" w:cs="仿宋"/>
                <w:color w:val="auto"/>
                <w:kern w:val="0"/>
                <w:lang w:val="zh-CN"/>
              </w:rPr>
            </w:pPr>
            <w:bookmarkStart w:id="298" w:name="_Toc232075047"/>
            <w:bookmarkEnd w:id="298"/>
            <w:r>
              <w:rPr>
                <w:rFonts w:hint="eastAsia" w:ascii="仿宋" w:hAnsi="仿宋" w:eastAsia="仿宋" w:cs="仿宋"/>
                <w:color w:val="auto"/>
                <w:kern w:val="0"/>
                <w:lang w:val="zh-CN"/>
              </w:rPr>
              <w:t>投标人名称</w:t>
            </w:r>
          </w:p>
        </w:tc>
        <w:tc>
          <w:tcPr>
            <w:tcW w:w="7298" w:type="dxa"/>
            <w:gridSpan w:val="4"/>
            <w:vAlign w:val="center"/>
          </w:tcPr>
          <w:p w14:paraId="702B8538">
            <w:pPr>
              <w:autoSpaceDE w:val="0"/>
              <w:autoSpaceDN w:val="0"/>
              <w:adjustRightInd w:val="0"/>
              <w:spacing w:line="440" w:lineRule="exact"/>
              <w:jc w:val="center"/>
              <w:rPr>
                <w:rFonts w:ascii="仿宋" w:hAnsi="仿宋" w:eastAsia="仿宋" w:cs="仿宋"/>
                <w:color w:val="auto"/>
                <w:kern w:val="0"/>
                <w:lang w:val="zh-CN"/>
              </w:rPr>
            </w:pPr>
          </w:p>
        </w:tc>
      </w:tr>
      <w:tr w14:paraId="4FEA7B2E">
        <w:trPr>
          <w:trHeight w:val="566" w:hRule="atLeast"/>
        </w:trPr>
        <w:tc>
          <w:tcPr>
            <w:tcW w:w="1959" w:type="dxa"/>
            <w:vAlign w:val="center"/>
          </w:tcPr>
          <w:p w14:paraId="66196144">
            <w:pPr>
              <w:autoSpaceDE w:val="0"/>
              <w:autoSpaceDN w:val="0"/>
              <w:adjustRightInd w:val="0"/>
              <w:spacing w:line="440" w:lineRule="exact"/>
              <w:jc w:val="center"/>
              <w:rPr>
                <w:rFonts w:ascii="仿宋" w:hAnsi="仿宋" w:eastAsia="仿宋" w:cs="仿宋"/>
                <w:color w:val="auto"/>
                <w:kern w:val="0"/>
                <w:lang w:val="zh-CN"/>
              </w:rPr>
            </w:pPr>
            <w:bookmarkStart w:id="299" w:name="_Toc232075048"/>
            <w:bookmarkEnd w:id="299"/>
            <w:r>
              <w:rPr>
                <w:rFonts w:hint="eastAsia" w:ascii="仿宋" w:hAnsi="仿宋" w:eastAsia="仿宋" w:cs="仿宋"/>
                <w:color w:val="auto"/>
                <w:kern w:val="0"/>
                <w:lang w:val="zh-CN"/>
              </w:rPr>
              <w:t>注册地址</w:t>
            </w:r>
          </w:p>
        </w:tc>
        <w:tc>
          <w:tcPr>
            <w:tcW w:w="3836" w:type="dxa"/>
            <w:gridSpan w:val="2"/>
            <w:vAlign w:val="center"/>
          </w:tcPr>
          <w:p w14:paraId="7871C0A7">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2D7E4AF">
            <w:pPr>
              <w:autoSpaceDE w:val="0"/>
              <w:autoSpaceDN w:val="0"/>
              <w:adjustRightInd w:val="0"/>
              <w:spacing w:line="440" w:lineRule="exact"/>
              <w:jc w:val="center"/>
              <w:rPr>
                <w:rFonts w:ascii="仿宋" w:hAnsi="仿宋" w:eastAsia="仿宋" w:cs="仿宋"/>
                <w:color w:val="auto"/>
                <w:kern w:val="0"/>
                <w:lang w:val="zh-CN"/>
              </w:rPr>
            </w:pPr>
            <w:bookmarkStart w:id="300" w:name="_Toc232075049"/>
            <w:bookmarkEnd w:id="300"/>
            <w:r>
              <w:rPr>
                <w:rFonts w:hint="eastAsia" w:ascii="仿宋" w:hAnsi="仿宋" w:eastAsia="仿宋" w:cs="仿宋"/>
                <w:color w:val="auto"/>
                <w:kern w:val="0"/>
                <w:lang w:val="zh-CN"/>
              </w:rPr>
              <w:t>邮政编码</w:t>
            </w:r>
          </w:p>
        </w:tc>
        <w:tc>
          <w:tcPr>
            <w:tcW w:w="2052" w:type="dxa"/>
            <w:vAlign w:val="center"/>
          </w:tcPr>
          <w:p w14:paraId="480FC215">
            <w:pPr>
              <w:autoSpaceDE w:val="0"/>
              <w:autoSpaceDN w:val="0"/>
              <w:adjustRightInd w:val="0"/>
              <w:spacing w:line="440" w:lineRule="exact"/>
              <w:jc w:val="center"/>
              <w:rPr>
                <w:rFonts w:ascii="仿宋" w:hAnsi="仿宋" w:eastAsia="仿宋" w:cs="仿宋"/>
                <w:color w:val="auto"/>
                <w:kern w:val="0"/>
                <w:lang w:val="zh-CN"/>
              </w:rPr>
            </w:pPr>
          </w:p>
        </w:tc>
      </w:tr>
      <w:tr w14:paraId="1F157817">
        <w:trPr>
          <w:trHeight w:val="566" w:hRule="atLeast"/>
        </w:trPr>
        <w:tc>
          <w:tcPr>
            <w:tcW w:w="1959" w:type="dxa"/>
            <w:vMerge w:val="restart"/>
            <w:vAlign w:val="center"/>
          </w:tcPr>
          <w:p w14:paraId="216E5A6B">
            <w:pPr>
              <w:autoSpaceDE w:val="0"/>
              <w:autoSpaceDN w:val="0"/>
              <w:adjustRightInd w:val="0"/>
              <w:spacing w:line="440" w:lineRule="exact"/>
              <w:jc w:val="center"/>
              <w:rPr>
                <w:rFonts w:ascii="仿宋" w:hAnsi="仿宋" w:eastAsia="仿宋" w:cs="仿宋"/>
                <w:color w:val="auto"/>
                <w:kern w:val="0"/>
                <w:lang w:val="zh-CN"/>
              </w:rPr>
            </w:pPr>
            <w:bookmarkStart w:id="301" w:name="_Toc232075050"/>
            <w:bookmarkEnd w:id="301"/>
            <w:r>
              <w:rPr>
                <w:rFonts w:hint="eastAsia" w:ascii="仿宋" w:hAnsi="仿宋" w:eastAsia="仿宋" w:cs="仿宋"/>
                <w:color w:val="auto"/>
                <w:kern w:val="0"/>
                <w:lang w:val="zh-CN"/>
              </w:rPr>
              <w:t>联系方式</w:t>
            </w:r>
          </w:p>
        </w:tc>
        <w:tc>
          <w:tcPr>
            <w:tcW w:w="1311" w:type="dxa"/>
            <w:vAlign w:val="center"/>
          </w:tcPr>
          <w:p w14:paraId="662B0B12">
            <w:pPr>
              <w:autoSpaceDE w:val="0"/>
              <w:autoSpaceDN w:val="0"/>
              <w:adjustRightInd w:val="0"/>
              <w:spacing w:line="440" w:lineRule="exact"/>
              <w:jc w:val="center"/>
              <w:rPr>
                <w:rFonts w:ascii="仿宋" w:hAnsi="仿宋" w:eastAsia="仿宋" w:cs="仿宋"/>
                <w:color w:val="auto"/>
                <w:kern w:val="0"/>
                <w:lang w:val="zh-CN"/>
              </w:rPr>
            </w:pPr>
            <w:bookmarkStart w:id="302" w:name="_Toc232075051"/>
            <w:bookmarkEnd w:id="302"/>
            <w:r>
              <w:rPr>
                <w:rFonts w:hint="eastAsia" w:ascii="仿宋" w:hAnsi="仿宋" w:eastAsia="仿宋" w:cs="仿宋"/>
                <w:color w:val="auto"/>
                <w:kern w:val="0"/>
                <w:lang w:val="zh-CN"/>
              </w:rPr>
              <w:t>联系人</w:t>
            </w:r>
          </w:p>
        </w:tc>
        <w:tc>
          <w:tcPr>
            <w:tcW w:w="2525" w:type="dxa"/>
            <w:vAlign w:val="center"/>
          </w:tcPr>
          <w:p w14:paraId="35DEEF7D">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DEAFAF0">
            <w:pPr>
              <w:autoSpaceDE w:val="0"/>
              <w:autoSpaceDN w:val="0"/>
              <w:adjustRightInd w:val="0"/>
              <w:spacing w:line="440" w:lineRule="exact"/>
              <w:jc w:val="center"/>
              <w:rPr>
                <w:rFonts w:ascii="仿宋" w:hAnsi="仿宋" w:eastAsia="仿宋" w:cs="仿宋"/>
                <w:color w:val="auto"/>
                <w:kern w:val="0"/>
                <w:lang w:val="zh-CN"/>
              </w:rPr>
            </w:pPr>
            <w:bookmarkStart w:id="303" w:name="_Toc232075052"/>
            <w:bookmarkEnd w:id="303"/>
            <w:r>
              <w:rPr>
                <w:rFonts w:hint="eastAsia" w:ascii="仿宋" w:hAnsi="仿宋" w:eastAsia="仿宋" w:cs="仿宋"/>
                <w:color w:val="auto"/>
                <w:kern w:val="0"/>
                <w:lang w:val="zh-CN"/>
              </w:rPr>
              <w:t>电    话</w:t>
            </w:r>
          </w:p>
        </w:tc>
        <w:tc>
          <w:tcPr>
            <w:tcW w:w="2052" w:type="dxa"/>
            <w:vAlign w:val="center"/>
          </w:tcPr>
          <w:p w14:paraId="1073F67E">
            <w:pPr>
              <w:autoSpaceDE w:val="0"/>
              <w:autoSpaceDN w:val="0"/>
              <w:adjustRightInd w:val="0"/>
              <w:spacing w:line="440" w:lineRule="exact"/>
              <w:jc w:val="center"/>
              <w:rPr>
                <w:rFonts w:ascii="仿宋" w:hAnsi="仿宋" w:eastAsia="仿宋" w:cs="仿宋"/>
                <w:color w:val="auto"/>
                <w:kern w:val="0"/>
                <w:lang w:val="zh-CN"/>
              </w:rPr>
            </w:pPr>
          </w:p>
        </w:tc>
      </w:tr>
      <w:tr w14:paraId="0ACEBD81">
        <w:trPr>
          <w:trHeight w:val="547" w:hRule="atLeast"/>
        </w:trPr>
        <w:tc>
          <w:tcPr>
            <w:tcW w:w="1959" w:type="dxa"/>
            <w:vMerge w:val="continue"/>
            <w:vAlign w:val="center"/>
          </w:tcPr>
          <w:p w14:paraId="5B139CC1">
            <w:pPr>
              <w:rPr>
                <w:rFonts w:ascii="仿宋" w:hAnsi="仿宋" w:eastAsia="仿宋" w:cs="仿宋"/>
                <w:color w:val="auto"/>
              </w:rPr>
            </w:pPr>
          </w:p>
        </w:tc>
        <w:tc>
          <w:tcPr>
            <w:tcW w:w="1311" w:type="dxa"/>
            <w:vAlign w:val="center"/>
          </w:tcPr>
          <w:p w14:paraId="0F70E8FD">
            <w:pPr>
              <w:autoSpaceDE w:val="0"/>
              <w:autoSpaceDN w:val="0"/>
              <w:adjustRightInd w:val="0"/>
              <w:spacing w:line="440" w:lineRule="exact"/>
              <w:jc w:val="center"/>
              <w:rPr>
                <w:rFonts w:ascii="仿宋" w:hAnsi="仿宋" w:eastAsia="仿宋" w:cs="仿宋"/>
                <w:color w:val="auto"/>
                <w:kern w:val="0"/>
                <w:lang w:val="zh-CN"/>
              </w:rPr>
            </w:pPr>
            <w:bookmarkStart w:id="304" w:name="_Toc232075053"/>
            <w:bookmarkEnd w:id="304"/>
            <w:r>
              <w:rPr>
                <w:rFonts w:hint="eastAsia" w:ascii="仿宋" w:hAnsi="仿宋" w:eastAsia="仿宋" w:cs="仿宋"/>
                <w:color w:val="auto"/>
                <w:kern w:val="0"/>
                <w:lang w:val="zh-CN"/>
              </w:rPr>
              <w:t>传  真</w:t>
            </w:r>
          </w:p>
        </w:tc>
        <w:tc>
          <w:tcPr>
            <w:tcW w:w="2525" w:type="dxa"/>
            <w:vAlign w:val="center"/>
          </w:tcPr>
          <w:p w14:paraId="1B3E461A">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BEC323D">
            <w:pPr>
              <w:autoSpaceDE w:val="0"/>
              <w:autoSpaceDN w:val="0"/>
              <w:adjustRightInd w:val="0"/>
              <w:spacing w:line="440" w:lineRule="exact"/>
              <w:jc w:val="center"/>
              <w:rPr>
                <w:rFonts w:ascii="仿宋" w:hAnsi="仿宋" w:eastAsia="仿宋" w:cs="仿宋"/>
                <w:color w:val="auto"/>
                <w:kern w:val="0"/>
                <w:lang w:val="zh-CN"/>
              </w:rPr>
            </w:pPr>
            <w:bookmarkStart w:id="305" w:name="_Toc232075054"/>
            <w:bookmarkEnd w:id="305"/>
            <w:r>
              <w:rPr>
                <w:rFonts w:hint="eastAsia" w:ascii="仿宋" w:hAnsi="仿宋" w:eastAsia="仿宋" w:cs="仿宋"/>
                <w:color w:val="auto"/>
                <w:kern w:val="0"/>
                <w:lang w:val="zh-CN"/>
              </w:rPr>
              <w:t>网    址</w:t>
            </w:r>
          </w:p>
        </w:tc>
        <w:tc>
          <w:tcPr>
            <w:tcW w:w="2052" w:type="dxa"/>
            <w:vAlign w:val="center"/>
          </w:tcPr>
          <w:p w14:paraId="31CEC1A1">
            <w:pPr>
              <w:autoSpaceDE w:val="0"/>
              <w:autoSpaceDN w:val="0"/>
              <w:adjustRightInd w:val="0"/>
              <w:spacing w:line="440" w:lineRule="exact"/>
              <w:jc w:val="center"/>
              <w:rPr>
                <w:rFonts w:ascii="仿宋" w:hAnsi="仿宋" w:eastAsia="仿宋" w:cs="仿宋"/>
                <w:color w:val="auto"/>
                <w:kern w:val="0"/>
                <w:lang w:val="zh-CN"/>
              </w:rPr>
            </w:pPr>
          </w:p>
        </w:tc>
      </w:tr>
      <w:tr w14:paraId="592CEBE0">
        <w:trPr>
          <w:trHeight w:val="566" w:hRule="atLeast"/>
        </w:trPr>
        <w:tc>
          <w:tcPr>
            <w:tcW w:w="1959" w:type="dxa"/>
            <w:vAlign w:val="center"/>
          </w:tcPr>
          <w:p w14:paraId="7047016B">
            <w:pPr>
              <w:autoSpaceDE w:val="0"/>
              <w:autoSpaceDN w:val="0"/>
              <w:adjustRightInd w:val="0"/>
              <w:spacing w:line="440" w:lineRule="exact"/>
              <w:jc w:val="center"/>
              <w:rPr>
                <w:rFonts w:ascii="仿宋" w:hAnsi="仿宋" w:eastAsia="仿宋" w:cs="仿宋"/>
                <w:color w:val="auto"/>
                <w:kern w:val="0"/>
                <w:lang w:val="zh-CN"/>
              </w:rPr>
            </w:pPr>
            <w:bookmarkStart w:id="306" w:name="_Toc232075056"/>
            <w:bookmarkEnd w:id="306"/>
            <w:r>
              <w:rPr>
                <w:rFonts w:hint="eastAsia" w:ascii="仿宋" w:hAnsi="仿宋" w:eastAsia="仿宋" w:cs="仿宋"/>
                <w:color w:val="auto"/>
                <w:kern w:val="0"/>
                <w:lang w:val="zh-CN"/>
              </w:rPr>
              <w:t>法定代表人</w:t>
            </w:r>
          </w:p>
        </w:tc>
        <w:tc>
          <w:tcPr>
            <w:tcW w:w="1311" w:type="dxa"/>
            <w:vAlign w:val="center"/>
          </w:tcPr>
          <w:p w14:paraId="4889F9FF">
            <w:pPr>
              <w:autoSpaceDE w:val="0"/>
              <w:autoSpaceDN w:val="0"/>
              <w:adjustRightInd w:val="0"/>
              <w:spacing w:line="440" w:lineRule="exact"/>
              <w:jc w:val="center"/>
              <w:rPr>
                <w:rFonts w:ascii="仿宋" w:hAnsi="仿宋" w:eastAsia="仿宋" w:cs="仿宋"/>
                <w:color w:val="auto"/>
                <w:kern w:val="0"/>
                <w:lang w:val="zh-CN"/>
              </w:rPr>
            </w:pPr>
            <w:bookmarkStart w:id="307" w:name="_Toc232075057"/>
            <w:bookmarkEnd w:id="307"/>
            <w:r>
              <w:rPr>
                <w:rFonts w:hint="eastAsia" w:ascii="仿宋" w:hAnsi="仿宋" w:eastAsia="仿宋" w:cs="仿宋"/>
                <w:color w:val="auto"/>
                <w:kern w:val="0"/>
                <w:lang w:val="zh-CN"/>
              </w:rPr>
              <w:t>姓名</w:t>
            </w:r>
          </w:p>
        </w:tc>
        <w:tc>
          <w:tcPr>
            <w:tcW w:w="2525" w:type="dxa"/>
            <w:vAlign w:val="center"/>
          </w:tcPr>
          <w:p w14:paraId="79C7194E">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3B84024B">
            <w:pPr>
              <w:autoSpaceDE w:val="0"/>
              <w:autoSpaceDN w:val="0"/>
              <w:adjustRightInd w:val="0"/>
              <w:spacing w:line="440" w:lineRule="exact"/>
              <w:jc w:val="center"/>
              <w:rPr>
                <w:rFonts w:ascii="仿宋" w:hAnsi="仿宋" w:eastAsia="仿宋" w:cs="仿宋"/>
                <w:color w:val="auto"/>
                <w:kern w:val="0"/>
                <w:lang w:val="zh-CN"/>
              </w:rPr>
            </w:pPr>
            <w:bookmarkStart w:id="308" w:name="_Toc232075059"/>
            <w:bookmarkEnd w:id="308"/>
            <w:r>
              <w:rPr>
                <w:rFonts w:hint="eastAsia" w:ascii="仿宋" w:hAnsi="仿宋" w:eastAsia="仿宋" w:cs="仿宋"/>
                <w:color w:val="auto"/>
                <w:kern w:val="0"/>
                <w:lang w:val="zh-CN"/>
              </w:rPr>
              <w:t>电话</w:t>
            </w:r>
          </w:p>
        </w:tc>
        <w:tc>
          <w:tcPr>
            <w:tcW w:w="2052" w:type="dxa"/>
            <w:vAlign w:val="center"/>
          </w:tcPr>
          <w:p w14:paraId="3EB8AA89">
            <w:pPr>
              <w:autoSpaceDE w:val="0"/>
              <w:autoSpaceDN w:val="0"/>
              <w:adjustRightInd w:val="0"/>
              <w:spacing w:line="440" w:lineRule="exact"/>
              <w:jc w:val="center"/>
              <w:rPr>
                <w:rFonts w:ascii="仿宋" w:hAnsi="仿宋" w:eastAsia="仿宋" w:cs="仿宋"/>
                <w:color w:val="auto"/>
                <w:kern w:val="0"/>
                <w:lang w:val="zh-CN"/>
              </w:rPr>
            </w:pPr>
          </w:p>
        </w:tc>
      </w:tr>
      <w:tr w14:paraId="6C7E0F92">
        <w:trPr>
          <w:trHeight w:val="566" w:hRule="atLeast"/>
        </w:trPr>
        <w:tc>
          <w:tcPr>
            <w:tcW w:w="1959" w:type="dxa"/>
            <w:vAlign w:val="center"/>
          </w:tcPr>
          <w:p w14:paraId="75A522DE">
            <w:pPr>
              <w:autoSpaceDE w:val="0"/>
              <w:autoSpaceDN w:val="0"/>
              <w:adjustRightInd w:val="0"/>
              <w:spacing w:line="440" w:lineRule="exact"/>
              <w:jc w:val="center"/>
              <w:rPr>
                <w:rFonts w:ascii="仿宋" w:hAnsi="仿宋" w:eastAsia="仿宋" w:cs="仿宋"/>
                <w:color w:val="auto"/>
                <w:kern w:val="0"/>
                <w:lang w:val="zh-CN"/>
              </w:rPr>
            </w:pPr>
            <w:bookmarkStart w:id="309" w:name="_Toc232075064"/>
            <w:bookmarkEnd w:id="309"/>
            <w:r>
              <w:rPr>
                <w:rFonts w:hint="eastAsia" w:ascii="仿宋" w:hAnsi="仿宋" w:eastAsia="仿宋" w:cs="仿宋"/>
                <w:color w:val="auto"/>
                <w:kern w:val="0"/>
                <w:lang w:val="zh-CN"/>
              </w:rPr>
              <w:t>成立时间</w:t>
            </w:r>
          </w:p>
        </w:tc>
        <w:tc>
          <w:tcPr>
            <w:tcW w:w="3836" w:type="dxa"/>
            <w:gridSpan w:val="2"/>
            <w:vAlign w:val="center"/>
          </w:tcPr>
          <w:p w14:paraId="087F361B">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7A6A094">
            <w:pPr>
              <w:autoSpaceDE w:val="0"/>
              <w:autoSpaceDN w:val="0"/>
              <w:adjustRightInd w:val="0"/>
              <w:spacing w:line="440" w:lineRule="exact"/>
              <w:jc w:val="center"/>
              <w:rPr>
                <w:rFonts w:ascii="仿宋" w:hAnsi="仿宋" w:eastAsia="仿宋" w:cs="仿宋"/>
                <w:color w:val="auto"/>
                <w:kern w:val="0"/>
                <w:lang w:val="zh-CN"/>
              </w:rPr>
            </w:pPr>
            <w:bookmarkStart w:id="310" w:name="_Toc232075065"/>
            <w:bookmarkEnd w:id="310"/>
            <w:r>
              <w:rPr>
                <w:rFonts w:hint="eastAsia" w:ascii="仿宋" w:hAnsi="仿宋" w:eastAsia="仿宋" w:cs="仿宋"/>
                <w:color w:val="auto"/>
                <w:kern w:val="0"/>
                <w:lang w:val="zh-CN"/>
              </w:rPr>
              <w:t>员工总人数：</w:t>
            </w:r>
          </w:p>
        </w:tc>
        <w:tc>
          <w:tcPr>
            <w:tcW w:w="2052" w:type="dxa"/>
            <w:vAlign w:val="center"/>
          </w:tcPr>
          <w:p w14:paraId="7305A62F">
            <w:pPr>
              <w:autoSpaceDE w:val="0"/>
              <w:autoSpaceDN w:val="0"/>
              <w:adjustRightInd w:val="0"/>
              <w:spacing w:line="440" w:lineRule="exact"/>
              <w:jc w:val="center"/>
              <w:rPr>
                <w:rFonts w:ascii="仿宋" w:hAnsi="仿宋" w:eastAsia="仿宋" w:cs="仿宋"/>
                <w:color w:val="auto"/>
                <w:kern w:val="0"/>
                <w:lang w:val="zh-CN"/>
              </w:rPr>
            </w:pPr>
          </w:p>
        </w:tc>
      </w:tr>
      <w:tr w14:paraId="1640096F">
        <w:trPr>
          <w:trHeight w:val="547" w:hRule="atLeast"/>
        </w:trPr>
        <w:tc>
          <w:tcPr>
            <w:tcW w:w="1959" w:type="dxa"/>
            <w:vAlign w:val="center"/>
          </w:tcPr>
          <w:p w14:paraId="31A1B062">
            <w:pPr>
              <w:autoSpaceDE w:val="0"/>
              <w:autoSpaceDN w:val="0"/>
              <w:adjustRightInd w:val="0"/>
              <w:spacing w:line="440" w:lineRule="exact"/>
              <w:jc w:val="center"/>
              <w:rPr>
                <w:rFonts w:ascii="仿宋" w:hAnsi="仿宋" w:eastAsia="仿宋" w:cs="仿宋"/>
                <w:color w:val="auto"/>
                <w:kern w:val="0"/>
                <w:lang w:val="zh-CN"/>
              </w:rPr>
            </w:pPr>
            <w:bookmarkStart w:id="311" w:name="_Toc232075069"/>
            <w:bookmarkEnd w:id="311"/>
            <w:r>
              <w:rPr>
                <w:rFonts w:hint="eastAsia" w:ascii="仿宋" w:hAnsi="仿宋" w:eastAsia="仿宋" w:cs="仿宋"/>
                <w:color w:val="auto"/>
                <w:kern w:val="0"/>
                <w:lang w:val="zh-CN"/>
              </w:rPr>
              <w:t>营业执照号</w:t>
            </w:r>
          </w:p>
        </w:tc>
        <w:tc>
          <w:tcPr>
            <w:tcW w:w="7298" w:type="dxa"/>
            <w:gridSpan w:val="4"/>
            <w:vAlign w:val="center"/>
          </w:tcPr>
          <w:p w14:paraId="6BC6508D">
            <w:pPr>
              <w:autoSpaceDE w:val="0"/>
              <w:autoSpaceDN w:val="0"/>
              <w:adjustRightInd w:val="0"/>
              <w:spacing w:line="440" w:lineRule="exact"/>
              <w:jc w:val="center"/>
              <w:rPr>
                <w:rFonts w:ascii="仿宋" w:hAnsi="仿宋" w:eastAsia="仿宋" w:cs="仿宋"/>
                <w:color w:val="auto"/>
                <w:kern w:val="0"/>
                <w:lang w:val="zh-CN"/>
              </w:rPr>
            </w:pPr>
          </w:p>
        </w:tc>
      </w:tr>
      <w:tr w14:paraId="42967462">
        <w:trPr>
          <w:trHeight w:val="566" w:hRule="atLeast"/>
        </w:trPr>
        <w:tc>
          <w:tcPr>
            <w:tcW w:w="1959" w:type="dxa"/>
            <w:vAlign w:val="center"/>
          </w:tcPr>
          <w:p w14:paraId="1081B7B1">
            <w:pPr>
              <w:autoSpaceDE w:val="0"/>
              <w:autoSpaceDN w:val="0"/>
              <w:adjustRightInd w:val="0"/>
              <w:spacing w:line="440" w:lineRule="exact"/>
              <w:jc w:val="center"/>
              <w:rPr>
                <w:rFonts w:ascii="仿宋" w:hAnsi="仿宋" w:eastAsia="仿宋" w:cs="仿宋"/>
                <w:color w:val="auto"/>
                <w:kern w:val="0"/>
                <w:lang w:val="zh-CN"/>
              </w:rPr>
            </w:pPr>
            <w:bookmarkStart w:id="312" w:name="_Toc232075071"/>
            <w:bookmarkEnd w:id="312"/>
            <w:r>
              <w:rPr>
                <w:rFonts w:hint="eastAsia" w:ascii="仿宋" w:hAnsi="仿宋" w:eastAsia="仿宋" w:cs="仿宋"/>
                <w:color w:val="auto"/>
                <w:kern w:val="0"/>
                <w:lang w:val="zh-CN"/>
              </w:rPr>
              <w:t>注册资金</w:t>
            </w:r>
          </w:p>
        </w:tc>
        <w:tc>
          <w:tcPr>
            <w:tcW w:w="7298" w:type="dxa"/>
            <w:gridSpan w:val="4"/>
            <w:vAlign w:val="center"/>
          </w:tcPr>
          <w:p w14:paraId="4229605E">
            <w:pPr>
              <w:autoSpaceDE w:val="0"/>
              <w:autoSpaceDN w:val="0"/>
              <w:adjustRightInd w:val="0"/>
              <w:spacing w:line="440" w:lineRule="exact"/>
              <w:jc w:val="center"/>
              <w:rPr>
                <w:rFonts w:ascii="仿宋" w:hAnsi="仿宋" w:eastAsia="仿宋" w:cs="仿宋"/>
                <w:color w:val="auto"/>
                <w:kern w:val="0"/>
                <w:lang w:val="zh-CN"/>
              </w:rPr>
            </w:pPr>
          </w:p>
        </w:tc>
      </w:tr>
      <w:tr w14:paraId="6A990F68">
        <w:trPr>
          <w:trHeight w:val="566" w:hRule="atLeast"/>
        </w:trPr>
        <w:tc>
          <w:tcPr>
            <w:tcW w:w="1959" w:type="dxa"/>
            <w:vAlign w:val="center"/>
          </w:tcPr>
          <w:p w14:paraId="220B7132">
            <w:pPr>
              <w:autoSpaceDE w:val="0"/>
              <w:autoSpaceDN w:val="0"/>
              <w:adjustRightInd w:val="0"/>
              <w:spacing w:line="440" w:lineRule="exact"/>
              <w:jc w:val="center"/>
              <w:rPr>
                <w:rFonts w:ascii="仿宋" w:hAnsi="仿宋" w:eastAsia="仿宋" w:cs="仿宋"/>
                <w:color w:val="auto"/>
                <w:kern w:val="0"/>
                <w:lang w:val="zh-CN"/>
              </w:rPr>
            </w:pPr>
            <w:bookmarkStart w:id="313" w:name="_Toc232075073"/>
            <w:bookmarkEnd w:id="313"/>
            <w:r>
              <w:rPr>
                <w:rFonts w:hint="eastAsia" w:ascii="仿宋" w:hAnsi="仿宋" w:eastAsia="仿宋" w:cs="仿宋"/>
                <w:color w:val="auto"/>
                <w:kern w:val="0"/>
                <w:lang w:val="zh-CN"/>
              </w:rPr>
              <w:t>开户银行</w:t>
            </w:r>
          </w:p>
        </w:tc>
        <w:tc>
          <w:tcPr>
            <w:tcW w:w="7298" w:type="dxa"/>
            <w:gridSpan w:val="4"/>
            <w:vAlign w:val="center"/>
          </w:tcPr>
          <w:p w14:paraId="4D04F842">
            <w:pPr>
              <w:autoSpaceDE w:val="0"/>
              <w:autoSpaceDN w:val="0"/>
              <w:adjustRightInd w:val="0"/>
              <w:spacing w:line="440" w:lineRule="exact"/>
              <w:jc w:val="center"/>
              <w:rPr>
                <w:rFonts w:ascii="仿宋" w:hAnsi="仿宋" w:eastAsia="仿宋" w:cs="仿宋"/>
                <w:color w:val="auto"/>
                <w:kern w:val="0"/>
                <w:lang w:val="zh-CN"/>
              </w:rPr>
            </w:pPr>
          </w:p>
        </w:tc>
      </w:tr>
      <w:tr w14:paraId="763CE198">
        <w:trPr>
          <w:trHeight w:val="547" w:hRule="atLeast"/>
        </w:trPr>
        <w:tc>
          <w:tcPr>
            <w:tcW w:w="1959" w:type="dxa"/>
            <w:vAlign w:val="center"/>
          </w:tcPr>
          <w:p w14:paraId="2F842959">
            <w:pPr>
              <w:autoSpaceDE w:val="0"/>
              <w:autoSpaceDN w:val="0"/>
              <w:adjustRightInd w:val="0"/>
              <w:spacing w:line="440" w:lineRule="exact"/>
              <w:jc w:val="center"/>
              <w:rPr>
                <w:rFonts w:ascii="仿宋" w:hAnsi="仿宋" w:eastAsia="仿宋" w:cs="仿宋"/>
                <w:color w:val="auto"/>
                <w:kern w:val="0"/>
                <w:lang w:val="zh-CN"/>
              </w:rPr>
            </w:pPr>
            <w:bookmarkStart w:id="314" w:name="_Toc232075075"/>
            <w:bookmarkEnd w:id="314"/>
            <w:r>
              <w:rPr>
                <w:rFonts w:hint="eastAsia" w:ascii="仿宋" w:hAnsi="仿宋" w:eastAsia="仿宋" w:cs="仿宋"/>
                <w:color w:val="auto"/>
                <w:kern w:val="0"/>
                <w:lang w:val="zh-CN"/>
              </w:rPr>
              <w:t>账号</w:t>
            </w:r>
          </w:p>
        </w:tc>
        <w:tc>
          <w:tcPr>
            <w:tcW w:w="7298" w:type="dxa"/>
            <w:gridSpan w:val="4"/>
            <w:vAlign w:val="center"/>
          </w:tcPr>
          <w:p w14:paraId="5A764FCD">
            <w:pPr>
              <w:autoSpaceDE w:val="0"/>
              <w:autoSpaceDN w:val="0"/>
              <w:adjustRightInd w:val="0"/>
              <w:spacing w:line="440" w:lineRule="exact"/>
              <w:jc w:val="center"/>
              <w:rPr>
                <w:rFonts w:ascii="仿宋" w:hAnsi="仿宋" w:eastAsia="仿宋" w:cs="仿宋"/>
                <w:color w:val="auto"/>
                <w:kern w:val="0"/>
                <w:lang w:val="zh-CN"/>
              </w:rPr>
            </w:pPr>
          </w:p>
        </w:tc>
      </w:tr>
      <w:tr w14:paraId="778F89F4">
        <w:trPr>
          <w:trHeight w:val="2011" w:hRule="atLeast"/>
        </w:trPr>
        <w:tc>
          <w:tcPr>
            <w:tcW w:w="1959" w:type="dxa"/>
            <w:vAlign w:val="center"/>
          </w:tcPr>
          <w:p w14:paraId="6BD841B1">
            <w:pPr>
              <w:autoSpaceDE w:val="0"/>
              <w:autoSpaceDN w:val="0"/>
              <w:adjustRightInd w:val="0"/>
              <w:spacing w:line="440" w:lineRule="exact"/>
              <w:jc w:val="center"/>
              <w:rPr>
                <w:rFonts w:ascii="仿宋" w:hAnsi="仿宋" w:eastAsia="仿宋" w:cs="仿宋"/>
                <w:color w:val="auto"/>
                <w:kern w:val="0"/>
                <w:lang w:val="zh-CN"/>
              </w:rPr>
            </w:pPr>
            <w:bookmarkStart w:id="315" w:name="_Toc232075077"/>
            <w:bookmarkEnd w:id="315"/>
            <w:r>
              <w:rPr>
                <w:rFonts w:hint="eastAsia" w:ascii="仿宋" w:hAnsi="仿宋" w:eastAsia="仿宋" w:cs="仿宋"/>
                <w:color w:val="auto"/>
                <w:kern w:val="0"/>
                <w:lang w:val="zh-CN"/>
              </w:rPr>
              <w:t>经营范围</w:t>
            </w:r>
          </w:p>
        </w:tc>
        <w:tc>
          <w:tcPr>
            <w:tcW w:w="7298" w:type="dxa"/>
            <w:gridSpan w:val="4"/>
            <w:vAlign w:val="center"/>
          </w:tcPr>
          <w:p w14:paraId="2568012A">
            <w:pPr>
              <w:autoSpaceDE w:val="0"/>
              <w:autoSpaceDN w:val="0"/>
              <w:adjustRightInd w:val="0"/>
              <w:spacing w:line="440" w:lineRule="exact"/>
              <w:jc w:val="center"/>
              <w:rPr>
                <w:rFonts w:ascii="仿宋" w:hAnsi="仿宋" w:eastAsia="仿宋" w:cs="仿宋"/>
                <w:color w:val="auto"/>
                <w:kern w:val="0"/>
                <w:lang w:val="zh-CN"/>
              </w:rPr>
            </w:pPr>
          </w:p>
        </w:tc>
      </w:tr>
      <w:tr w14:paraId="5C9DCC54">
        <w:trPr>
          <w:trHeight w:val="566" w:hRule="atLeast"/>
        </w:trPr>
        <w:tc>
          <w:tcPr>
            <w:tcW w:w="1959" w:type="dxa"/>
            <w:vAlign w:val="center"/>
          </w:tcPr>
          <w:p w14:paraId="484AB58B">
            <w:pPr>
              <w:autoSpaceDE w:val="0"/>
              <w:autoSpaceDN w:val="0"/>
              <w:adjustRightInd w:val="0"/>
              <w:spacing w:line="440" w:lineRule="exact"/>
              <w:jc w:val="center"/>
              <w:rPr>
                <w:rFonts w:ascii="仿宋" w:hAnsi="仿宋" w:eastAsia="仿宋" w:cs="仿宋"/>
                <w:color w:val="auto"/>
                <w:kern w:val="0"/>
                <w:lang w:val="zh-CN"/>
              </w:rPr>
            </w:pPr>
            <w:bookmarkStart w:id="316" w:name="_Toc232075078"/>
            <w:bookmarkEnd w:id="316"/>
            <w:r>
              <w:rPr>
                <w:rFonts w:hint="eastAsia" w:ascii="仿宋" w:hAnsi="仿宋" w:eastAsia="仿宋" w:cs="仿宋"/>
                <w:color w:val="auto"/>
                <w:kern w:val="0"/>
                <w:lang w:val="zh-CN"/>
              </w:rPr>
              <w:t>备注</w:t>
            </w:r>
          </w:p>
        </w:tc>
        <w:tc>
          <w:tcPr>
            <w:tcW w:w="7298" w:type="dxa"/>
            <w:gridSpan w:val="4"/>
            <w:vAlign w:val="center"/>
          </w:tcPr>
          <w:p w14:paraId="729B504F">
            <w:pPr>
              <w:autoSpaceDE w:val="0"/>
              <w:autoSpaceDN w:val="0"/>
              <w:adjustRightInd w:val="0"/>
              <w:spacing w:line="440" w:lineRule="exact"/>
              <w:jc w:val="center"/>
              <w:rPr>
                <w:rFonts w:ascii="仿宋" w:hAnsi="仿宋" w:eastAsia="仿宋" w:cs="仿宋"/>
                <w:color w:val="auto"/>
                <w:kern w:val="0"/>
                <w:lang w:val="zh-CN"/>
              </w:rPr>
            </w:pPr>
          </w:p>
        </w:tc>
      </w:tr>
    </w:tbl>
    <w:p w14:paraId="70E283DC">
      <w:pPr>
        <w:ind w:firstLine="417" w:firstLineChars="199"/>
        <w:rPr>
          <w:rFonts w:ascii="仿宋" w:hAnsi="仿宋" w:eastAsia="仿宋" w:cs="仿宋"/>
          <w:color w:val="auto"/>
          <w:kern w:val="0"/>
          <w:position w:val="-1"/>
          <w:szCs w:val="22"/>
        </w:rPr>
      </w:pPr>
      <w:r>
        <w:rPr>
          <w:rFonts w:hint="eastAsia" w:ascii="仿宋" w:hAnsi="仿宋" w:eastAsia="仿宋" w:cs="仿宋"/>
          <w:color w:val="auto"/>
          <w:kern w:val="0"/>
          <w:position w:val="-1"/>
          <w:szCs w:val="22"/>
        </w:rPr>
        <w:t>附：营业执照副本等相关资料的扫描件。</w:t>
      </w:r>
    </w:p>
    <w:p w14:paraId="26360117">
      <w:pPr>
        <w:rPr>
          <w:rFonts w:ascii="仿宋" w:hAnsi="仿宋" w:eastAsia="仿宋" w:cs="仿宋"/>
          <w:color w:val="auto"/>
          <w:kern w:val="0"/>
          <w:position w:val="-1"/>
          <w:szCs w:val="22"/>
        </w:rPr>
        <w:sectPr>
          <w:pgSz w:w="11906" w:h="16838"/>
          <w:pgMar w:top="1440" w:right="1080" w:bottom="1440" w:left="1080" w:header="543" w:footer="617" w:gutter="0"/>
          <w:cols w:space="720" w:num="1"/>
          <w:docGrid w:type="linesAndChars" w:linePitch="312" w:charSpace="0"/>
        </w:sectPr>
      </w:pPr>
    </w:p>
    <w:p w14:paraId="1E86870E">
      <w:pPr>
        <w:pStyle w:val="9"/>
        <w:numPr>
          <w:ilvl w:val="2"/>
          <w:numId w:val="0"/>
        </w:numPr>
        <w:spacing w:before="156" w:beforeLines="50" w:after="156" w:afterLines="50"/>
        <w:rPr>
          <w:rFonts w:ascii="仿宋" w:hAnsi="仿宋" w:eastAsia="仿宋" w:cs="仿宋"/>
          <w:b w:val="0"/>
          <w:color w:val="auto"/>
          <w:sz w:val="28"/>
          <w:szCs w:val="28"/>
        </w:rPr>
      </w:pPr>
      <w:bookmarkStart w:id="317" w:name="_Toc31500"/>
      <w:bookmarkEnd w:id="317"/>
      <w:bookmarkStart w:id="318" w:name="_Toc21711"/>
      <w:bookmarkEnd w:id="318"/>
      <w:bookmarkStart w:id="319" w:name="_Toc14002"/>
      <w:bookmarkEnd w:id="319"/>
      <w:bookmarkStart w:id="320" w:name="_Toc366144106"/>
      <w:bookmarkEnd w:id="320"/>
      <w:bookmarkStart w:id="321" w:name="_Toc13074"/>
      <w:bookmarkEnd w:id="321"/>
      <w:r>
        <w:rPr>
          <w:rFonts w:hint="eastAsia" w:ascii="仿宋" w:hAnsi="仿宋" w:eastAsia="仿宋" w:cs="仿宋"/>
          <w:b w:val="0"/>
          <w:color w:val="auto"/>
          <w:sz w:val="28"/>
          <w:szCs w:val="28"/>
        </w:rPr>
        <w:t>二、法定代表人身份证明及授权委托书</w:t>
      </w:r>
    </w:p>
    <w:p w14:paraId="27B6533B">
      <w:pPr>
        <w:rPr>
          <w:rFonts w:ascii="仿宋" w:hAnsi="仿宋" w:eastAsia="仿宋" w:cs="仿宋"/>
          <w:color w:val="auto"/>
          <w:szCs w:val="21"/>
        </w:rPr>
      </w:pPr>
    </w:p>
    <w:p w14:paraId="6C8A9D0D">
      <w:pPr>
        <w:pStyle w:val="10"/>
        <w:jc w:val="center"/>
        <w:rPr>
          <w:rFonts w:ascii="仿宋" w:hAnsi="仿宋" w:eastAsia="仿宋" w:cs="仿宋"/>
          <w:bCs/>
          <w:color w:val="auto"/>
          <w:sz w:val="24"/>
        </w:rPr>
      </w:pPr>
      <w:bookmarkStart w:id="322" w:name="_Toc229583228"/>
      <w:bookmarkEnd w:id="322"/>
      <w:r>
        <w:rPr>
          <w:rFonts w:hint="eastAsia" w:ascii="仿宋" w:hAnsi="仿宋" w:eastAsia="仿宋" w:cs="仿宋"/>
          <w:bCs/>
          <w:color w:val="auto"/>
          <w:sz w:val="24"/>
        </w:rPr>
        <w:t>（一）法定代表人身份证明书</w:t>
      </w:r>
    </w:p>
    <w:p w14:paraId="2EB67F3B">
      <w:pPr>
        <w:spacing w:line="360" w:lineRule="auto"/>
        <w:ind w:firstLine="612"/>
        <w:rPr>
          <w:rFonts w:ascii="仿宋" w:hAnsi="仿宋" w:eastAsia="仿宋" w:cs="仿宋"/>
          <w:color w:val="auto"/>
          <w:szCs w:val="21"/>
        </w:rPr>
      </w:pPr>
      <w:r>
        <w:rPr>
          <w:rFonts w:hint="eastAsia" w:ascii="仿宋" w:hAnsi="仿宋" w:eastAsia="仿宋" w:cs="仿宋"/>
          <w:color w:val="auto"/>
          <w:szCs w:val="21"/>
        </w:rPr>
        <w:t>单位名称：</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F2B75E7">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单位性质：</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59913FA">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地    址：</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28363393">
      <w:pPr>
        <w:spacing w:line="360" w:lineRule="auto"/>
        <w:ind w:firstLine="610"/>
        <w:rPr>
          <w:rFonts w:ascii="仿宋" w:hAnsi="仿宋" w:eastAsia="仿宋" w:cs="仿宋"/>
          <w:color w:val="auto"/>
          <w:szCs w:val="21"/>
        </w:rPr>
      </w:pPr>
      <w:r>
        <w:rPr>
          <w:rFonts w:hint="eastAsia" w:ascii="仿宋" w:hAnsi="仿宋" w:eastAsia="仿宋" w:cs="仿宋"/>
          <w:color w:val="auto"/>
          <w:szCs w:val="21"/>
        </w:rPr>
        <w:t>成立时间：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7FD30981">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经营期限：</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5823DEB3">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姓    名：</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 xml:space="preserve"> 性别：</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年龄：</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职务：</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67A5D3A7">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系</w:t>
      </w:r>
      <w:r>
        <w:rPr>
          <w:rFonts w:hint="eastAsia" w:ascii="仿宋" w:hAnsi="仿宋" w:eastAsia="仿宋" w:cs="仿宋"/>
          <w:color w:val="auto"/>
          <w:szCs w:val="21"/>
          <w:u w:val="single"/>
        </w:rPr>
        <w:t xml:space="preserve">                                  （投标人单位名称） </w:t>
      </w:r>
      <w:r>
        <w:rPr>
          <w:rFonts w:hint="eastAsia" w:ascii="仿宋" w:hAnsi="仿宋" w:eastAsia="仿宋" w:cs="仿宋"/>
          <w:color w:val="auto"/>
          <w:szCs w:val="21"/>
        </w:rPr>
        <w:t>的法定代表人。</w:t>
      </w:r>
    </w:p>
    <w:p w14:paraId="7ACB6730">
      <w:pPr>
        <w:spacing w:line="360" w:lineRule="auto"/>
        <w:ind w:firstLine="610"/>
        <w:rPr>
          <w:rFonts w:ascii="仿宋" w:hAnsi="仿宋" w:eastAsia="仿宋" w:cs="仿宋"/>
          <w:color w:val="auto"/>
          <w:szCs w:val="21"/>
        </w:rPr>
      </w:pPr>
    </w:p>
    <w:p w14:paraId="0065C2A6">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特此证明。</w:t>
      </w:r>
    </w:p>
    <w:p w14:paraId="744ACC16">
      <w:pPr>
        <w:tabs>
          <w:tab w:val="left" w:pos="720"/>
          <w:tab w:val="left" w:pos="900"/>
        </w:tabs>
        <w:spacing w:line="360" w:lineRule="auto"/>
        <w:ind w:firstLine="420" w:firstLineChars="200"/>
        <w:rPr>
          <w:rFonts w:ascii="仿宋" w:hAnsi="仿宋" w:eastAsia="仿宋" w:cs="仿宋"/>
          <w:color w:val="auto"/>
          <w:szCs w:val="21"/>
        </w:rPr>
      </w:pPr>
    </w:p>
    <w:p w14:paraId="30786E7F">
      <w:pPr>
        <w:tabs>
          <w:tab w:val="left" w:pos="720"/>
          <w:tab w:val="left" w:pos="900"/>
        </w:tabs>
        <w:spacing w:line="360" w:lineRule="auto"/>
        <w:ind w:firstLine="420" w:firstLineChars="200"/>
        <w:rPr>
          <w:rFonts w:ascii="仿宋" w:hAnsi="仿宋" w:eastAsia="仿宋" w:cs="仿宋"/>
          <w:color w:val="auto"/>
          <w:szCs w:val="21"/>
        </w:rPr>
      </w:pPr>
    </w:p>
    <w:p w14:paraId="422F9B06">
      <w:pPr>
        <w:tabs>
          <w:tab w:val="left" w:pos="720"/>
          <w:tab w:val="left" w:pos="900"/>
        </w:tabs>
        <w:spacing w:line="360" w:lineRule="auto"/>
        <w:ind w:firstLine="420" w:firstLineChars="200"/>
        <w:rPr>
          <w:rFonts w:ascii="仿宋" w:hAnsi="仿宋" w:eastAsia="仿宋" w:cs="仿宋"/>
          <w:color w:val="auto"/>
          <w:szCs w:val="21"/>
        </w:rPr>
      </w:pPr>
    </w:p>
    <w:p w14:paraId="3DDE39CC">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7A568A02">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日  期：</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5D9FFCBC">
      <w:pPr>
        <w:spacing w:line="360" w:lineRule="auto"/>
        <w:ind w:firstLine="2125" w:firstLineChars="1012"/>
        <w:rPr>
          <w:rFonts w:ascii="仿宋" w:hAnsi="仿宋" w:eastAsia="仿宋" w:cs="仿宋"/>
          <w:color w:val="auto"/>
          <w:szCs w:val="21"/>
        </w:rPr>
      </w:pPr>
    </w:p>
    <w:p w14:paraId="3E9F033D">
      <w:pPr>
        <w:spacing w:line="360" w:lineRule="auto"/>
        <w:ind w:firstLine="2125" w:firstLineChars="1012"/>
        <w:rPr>
          <w:rFonts w:ascii="仿宋" w:hAnsi="仿宋" w:eastAsia="仿宋" w:cs="仿宋"/>
          <w:color w:val="auto"/>
          <w:szCs w:val="21"/>
        </w:rPr>
      </w:pPr>
    </w:p>
    <w:p w14:paraId="69C1337A">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注：附法定代表人身份证双面扫描件。</w:t>
      </w:r>
    </w:p>
    <w:p w14:paraId="016F73D0">
      <w:pPr>
        <w:rPr>
          <w:rFonts w:ascii="仿宋" w:hAnsi="仿宋" w:eastAsia="仿宋" w:cs="仿宋"/>
          <w:bCs/>
          <w:color w:val="auto"/>
          <w:sz w:val="24"/>
        </w:rPr>
      </w:pPr>
      <w:bookmarkStart w:id="323" w:name="_Toc229583229"/>
      <w:r>
        <w:rPr>
          <w:rFonts w:hint="eastAsia" w:ascii="仿宋" w:hAnsi="仿宋" w:eastAsia="仿宋" w:cs="仿宋"/>
          <w:bCs/>
          <w:color w:val="auto"/>
          <w:sz w:val="24"/>
        </w:rPr>
        <w:br w:type="page"/>
      </w:r>
    </w:p>
    <w:bookmarkEnd w:id="323"/>
    <w:p w14:paraId="5B45FF77">
      <w:pPr>
        <w:pStyle w:val="10"/>
        <w:jc w:val="center"/>
        <w:rPr>
          <w:rFonts w:ascii="仿宋" w:hAnsi="仿宋" w:eastAsia="仿宋" w:cs="仿宋"/>
          <w:bCs/>
          <w:color w:val="auto"/>
          <w:sz w:val="24"/>
        </w:rPr>
      </w:pPr>
      <w:r>
        <w:rPr>
          <w:rFonts w:hint="eastAsia" w:ascii="仿宋" w:hAnsi="仿宋" w:eastAsia="仿宋" w:cs="仿宋"/>
          <w:bCs/>
          <w:color w:val="auto"/>
          <w:sz w:val="24"/>
        </w:rPr>
        <w:t>（二）投标文件签署授权委托书</w:t>
      </w:r>
    </w:p>
    <w:p w14:paraId="0A134D01">
      <w:pPr>
        <w:spacing w:line="360" w:lineRule="auto"/>
        <w:ind w:firstLine="420" w:firstLineChars="200"/>
        <w:rPr>
          <w:rFonts w:ascii="仿宋" w:hAnsi="仿宋" w:eastAsia="仿宋" w:cs="仿宋"/>
          <w:color w:val="auto"/>
          <w:szCs w:val="21"/>
        </w:rPr>
      </w:pPr>
    </w:p>
    <w:p w14:paraId="5D3DA40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rPr>
        <w:t>本授权委托书声明：我</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（姓名）系</w:t>
      </w:r>
      <w:r>
        <w:rPr>
          <w:rFonts w:hint="eastAsia" w:ascii="仿宋" w:hAnsi="仿宋" w:eastAsia="仿宋" w:cs="仿宋"/>
          <w:color w:val="auto"/>
          <w:szCs w:val="21"/>
          <w:u w:val="single"/>
        </w:rPr>
        <w:t xml:space="preserve">             （投标人名称）</w:t>
      </w:r>
      <w:r>
        <w:rPr>
          <w:rFonts w:hint="eastAsia" w:ascii="仿宋" w:hAnsi="仿宋" w:eastAsia="仿宋" w:cs="仿宋"/>
          <w:color w:val="auto"/>
          <w:szCs w:val="21"/>
        </w:rPr>
        <w:t>的法定代表人，现授权委托</w:t>
      </w:r>
      <w:r>
        <w:rPr>
          <w:rFonts w:hint="eastAsia" w:ascii="仿宋" w:hAnsi="仿宋" w:eastAsia="仿宋" w:cs="仿宋"/>
          <w:color w:val="auto"/>
          <w:szCs w:val="21"/>
          <w:u w:val="single"/>
        </w:rPr>
        <w:t xml:space="preserve">               （单位名称） </w:t>
      </w:r>
      <w:r>
        <w:rPr>
          <w:rFonts w:hint="eastAsia" w:ascii="仿宋" w:hAnsi="仿宋" w:eastAsia="仿宋" w:cs="仿宋"/>
          <w:color w:val="auto"/>
          <w:szCs w:val="21"/>
        </w:rPr>
        <w:t>的</w:t>
      </w:r>
      <w:r>
        <w:rPr>
          <w:rFonts w:hint="eastAsia" w:ascii="仿宋" w:hAnsi="仿宋" w:eastAsia="仿宋" w:cs="仿宋"/>
          <w:color w:val="auto"/>
          <w:szCs w:val="21"/>
          <w:u w:val="single"/>
        </w:rPr>
        <w:t xml:space="preserve">           （姓名）</w:t>
      </w:r>
      <w:r>
        <w:rPr>
          <w:rFonts w:hint="eastAsia" w:ascii="仿宋" w:hAnsi="仿宋" w:eastAsia="仿宋" w:cs="仿宋"/>
          <w:color w:val="auto"/>
          <w:szCs w:val="21"/>
        </w:rPr>
        <w:t>为我公司签署本项目</w:t>
      </w:r>
      <w:r>
        <w:rPr>
          <w:rFonts w:hint="eastAsia" w:ascii="仿宋" w:hAnsi="仿宋" w:eastAsia="仿宋" w:cs="仿宋"/>
          <w:color w:val="auto"/>
          <w:szCs w:val="21"/>
          <w:u w:val="single"/>
        </w:rPr>
        <w:t xml:space="preserve">        （项目名称）</w:t>
      </w:r>
      <w:r>
        <w:rPr>
          <w:rFonts w:hint="eastAsia" w:ascii="仿宋" w:hAnsi="仿宋" w:eastAsia="仿宋" w:cs="仿宋"/>
          <w:color w:val="auto"/>
          <w:szCs w:val="21"/>
        </w:rPr>
        <w:t>的投标文件的法定代表人授权委托代理人，我承认代理人全权代表我所签署的本工程的投标文件的内容。</w:t>
      </w:r>
    </w:p>
    <w:p w14:paraId="35422DDA">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委托期限：</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w:t>
      </w:r>
    </w:p>
    <w:p w14:paraId="2F78E4F6">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代理人无转委托权，特此委托。</w:t>
      </w:r>
    </w:p>
    <w:p w14:paraId="63184A1D">
      <w:pPr>
        <w:spacing w:line="360" w:lineRule="auto"/>
        <w:rPr>
          <w:rFonts w:ascii="仿宋" w:hAnsi="仿宋" w:eastAsia="仿宋" w:cs="仿宋"/>
          <w:color w:val="auto"/>
          <w:szCs w:val="21"/>
        </w:rPr>
      </w:pPr>
    </w:p>
    <w:p w14:paraId="76DE294F">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注：附法定代表人授权委托人身份证双面扫描件。</w:t>
      </w:r>
    </w:p>
    <w:p w14:paraId="05A8F8F4">
      <w:pPr>
        <w:spacing w:line="360" w:lineRule="auto"/>
        <w:rPr>
          <w:rFonts w:ascii="仿宋" w:hAnsi="仿宋" w:eastAsia="仿宋" w:cs="仿宋"/>
          <w:color w:val="auto"/>
          <w:szCs w:val="21"/>
        </w:rPr>
      </w:pPr>
    </w:p>
    <w:p w14:paraId="5688D84E">
      <w:pPr>
        <w:spacing w:line="360" w:lineRule="auto"/>
        <w:rPr>
          <w:rFonts w:ascii="仿宋" w:hAnsi="仿宋" w:eastAsia="仿宋" w:cs="仿宋"/>
          <w:color w:val="auto"/>
          <w:szCs w:val="21"/>
        </w:rPr>
      </w:pPr>
    </w:p>
    <w:p w14:paraId="1F5BED7E">
      <w:pPr>
        <w:spacing w:line="500" w:lineRule="exact"/>
        <w:rPr>
          <w:rFonts w:ascii="仿宋" w:hAnsi="仿宋" w:eastAsia="仿宋" w:cs="仿宋"/>
          <w:color w:val="auto"/>
          <w:sz w:val="24"/>
        </w:rPr>
      </w:pPr>
    </w:p>
    <w:p w14:paraId="6DAD514A">
      <w:pPr>
        <w:spacing w:line="500" w:lineRule="exact"/>
        <w:rPr>
          <w:rFonts w:ascii="仿宋" w:hAnsi="仿宋" w:eastAsia="仿宋" w:cs="仿宋"/>
          <w:color w:val="auto"/>
          <w:sz w:val="24"/>
        </w:rPr>
      </w:pPr>
    </w:p>
    <w:p w14:paraId="06B595BD">
      <w:pPr>
        <w:spacing w:line="500" w:lineRule="exact"/>
        <w:rPr>
          <w:rFonts w:ascii="仿宋" w:hAnsi="仿宋" w:eastAsia="仿宋" w:cs="仿宋"/>
          <w:color w:val="auto"/>
          <w:sz w:val="24"/>
        </w:rPr>
      </w:pPr>
    </w:p>
    <w:p w14:paraId="45AAA1C9">
      <w:pPr>
        <w:spacing w:line="500" w:lineRule="exact"/>
        <w:rPr>
          <w:rFonts w:ascii="仿宋" w:hAnsi="仿宋" w:eastAsia="仿宋" w:cs="仿宋"/>
          <w:color w:val="auto"/>
          <w:sz w:val="24"/>
        </w:rPr>
      </w:pPr>
    </w:p>
    <w:p w14:paraId="322E44F1">
      <w:pPr>
        <w:spacing w:line="500" w:lineRule="exact"/>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4BF1B493">
      <w:pPr>
        <w:spacing w:line="500" w:lineRule="exact"/>
        <w:rPr>
          <w:rFonts w:ascii="仿宋" w:hAnsi="仿宋" w:eastAsia="仿宋" w:cs="仿宋"/>
          <w:color w:val="auto"/>
          <w:szCs w:val="21"/>
        </w:rPr>
      </w:pPr>
      <w:r>
        <w:rPr>
          <w:rFonts w:hint="eastAsia" w:ascii="仿宋" w:hAnsi="仿宋" w:eastAsia="仿宋" w:cs="仿宋"/>
          <w:color w:val="auto"/>
          <w:szCs w:val="21"/>
        </w:rPr>
        <w:t>法定代表人（签字或盖章）：</w:t>
      </w:r>
      <w:r>
        <w:rPr>
          <w:rFonts w:hint="eastAsia" w:ascii="仿宋" w:hAnsi="仿宋" w:eastAsia="仿宋" w:cs="仿宋"/>
          <w:color w:val="auto"/>
          <w:szCs w:val="21"/>
          <w:u w:val="single"/>
        </w:rPr>
        <w:t xml:space="preserve">                       </w:t>
      </w:r>
    </w:p>
    <w:p w14:paraId="7237A7B6">
      <w:pPr>
        <w:spacing w:line="500" w:lineRule="exact"/>
        <w:rPr>
          <w:rFonts w:ascii="仿宋" w:hAnsi="仿宋" w:eastAsia="仿宋" w:cs="仿宋"/>
          <w:color w:val="auto"/>
          <w:szCs w:val="21"/>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5702779B">
      <w:pPr>
        <w:spacing w:line="500" w:lineRule="exact"/>
        <w:rPr>
          <w:rFonts w:ascii="仿宋" w:hAnsi="仿宋" w:eastAsia="仿宋" w:cs="仿宋"/>
          <w:color w:val="auto"/>
          <w:szCs w:val="21"/>
        </w:rPr>
      </w:pPr>
      <w:r>
        <w:rPr>
          <w:rFonts w:hint="eastAsia" w:ascii="仿宋" w:hAnsi="仿宋" w:eastAsia="仿宋" w:cs="仿宋"/>
          <w:color w:val="auto"/>
          <w:szCs w:val="21"/>
        </w:rPr>
        <w:t>委托代理人：</w:t>
      </w:r>
      <w:r>
        <w:rPr>
          <w:rFonts w:hint="eastAsia" w:ascii="仿宋" w:hAnsi="仿宋" w:eastAsia="仿宋" w:cs="仿宋"/>
          <w:color w:val="auto"/>
          <w:szCs w:val="21"/>
          <w:u w:val="single"/>
        </w:rPr>
        <w:t xml:space="preserve">                                     </w:t>
      </w:r>
    </w:p>
    <w:p w14:paraId="1E377E13">
      <w:pPr>
        <w:spacing w:line="500" w:lineRule="exact"/>
        <w:rPr>
          <w:rFonts w:ascii="仿宋" w:hAnsi="仿宋" w:eastAsia="仿宋" w:cs="仿宋"/>
          <w:color w:val="auto"/>
          <w:szCs w:val="21"/>
          <w:u w:val="single"/>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712D4E2F">
      <w:pPr>
        <w:pStyle w:val="13"/>
        <w:spacing w:before="156"/>
        <w:ind w:firstLine="420"/>
        <w:rPr>
          <w:rFonts w:ascii="仿宋" w:hAnsi="仿宋" w:eastAsia="仿宋" w:cs="仿宋"/>
          <w:color w:val="auto"/>
          <w:szCs w:val="21"/>
        </w:rPr>
      </w:pPr>
    </w:p>
    <w:p w14:paraId="378258A9">
      <w:pPr>
        <w:spacing w:line="360" w:lineRule="auto"/>
        <w:ind w:firstLine="2100" w:firstLineChars="1000"/>
        <w:rPr>
          <w:rFonts w:ascii="仿宋" w:hAnsi="仿宋" w:eastAsia="仿宋" w:cs="仿宋"/>
          <w:color w:val="auto"/>
          <w:szCs w:val="21"/>
        </w:rPr>
      </w:pPr>
    </w:p>
    <w:p w14:paraId="3F812B74">
      <w:pPr>
        <w:spacing w:line="360" w:lineRule="auto"/>
        <w:jc w:val="right"/>
        <w:rPr>
          <w:rFonts w:ascii="仿宋" w:hAnsi="仿宋" w:eastAsia="仿宋" w:cs="仿宋"/>
          <w:color w:val="auto"/>
          <w:szCs w:val="21"/>
          <w:u w:val="single"/>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59A9487">
      <w:pPr>
        <w:pStyle w:val="9"/>
        <w:numPr>
          <w:ilvl w:val="2"/>
          <w:numId w:val="0"/>
        </w:numPr>
        <w:spacing w:before="156" w:beforeLines="50" w:after="156" w:afterLines="50"/>
        <w:rPr>
          <w:rFonts w:ascii="仿宋" w:hAnsi="仿宋" w:eastAsia="仿宋" w:cs="仿宋"/>
          <w:color w:val="auto"/>
          <w:sz w:val="28"/>
          <w:szCs w:val="28"/>
        </w:rPr>
      </w:pPr>
      <w:bookmarkStart w:id="324" w:name="_Toc9614"/>
      <w:bookmarkEnd w:id="324"/>
      <w:bookmarkStart w:id="325" w:name="_Toc366144108"/>
      <w:bookmarkEnd w:id="325"/>
      <w:bookmarkStart w:id="326" w:name="_Toc7329"/>
      <w:bookmarkEnd w:id="326"/>
      <w:bookmarkStart w:id="327" w:name="_Toc30576"/>
      <w:bookmarkEnd w:id="327"/>
      <w:bookmarkStart w:id="328" w:name="_Toc8659"/>
      <w:bookmarkEnd w:id="328"/>
      <w:r>
        <w:rPr>
          <w:rFonts w:hint="eastAsia" w:ascii="仿宋" w:hAnsi="仿宋" w:eastAsia="仿宋" w:cs="仿宋"/>
          <w:b w:val="0"/>
          <w:color w:val="auto"/>
          <w:sz w:val="29"/>
          <w:szCs w:val="21"/>
        </w:rPr>
        <w:br w:type="page"/>
      </w:r>
      <w:r>
        <w:rPr>
          <w:rFonts w:hint="eastAsia" w:ascii="仿宋" w:hAnsi="仿宋" w:eastAsia="仿宋" w:cs="仿宋"/>
          <w:b w:val="0"/>
          <w:color w:val="auto"/>
          <w:sz w:val="29"/>
          <w:szCs w:val="21"/>
        </w:rPr>
        <w:t>三、</w:t>
      </w:r>
      <w:r>
        <w:rPr>
          <w:rFonts w:hint="eastAsia" w:ascii="仿宋" w:hAnsi="仿宋" w:eastAsia="仿宋" w:cs="仿宋"/>
          <w:color w:val="auto"/>
          <w:sz w:val="28"/>
          <w:szCs w:val="28"/>
        </w:rPr>
        <w:t>投</w:t>
      </w:r>
      <w:r>
        <w:rPr>
          <w:rFonts w:hint="eastAsia" w:ascii="仿宋" w:hAnsi="仿宋" w:eastAsia="仿宋"/>
          <w:color w:val="auto"/>
          <w:sz w:val="28"/>
          <w:szCs w:val="28"/>
        </w:rPr>
        <w:t>标人具备参加政府采购活动条件承诺函</w:t>
      </w:r>
    </w:p>
    <w:p w14:paraId="15E067CA">
      <w:pPr>
        <w:spacing w:line="360" w:lineRule="auto"/>
        <w:ind w:firstLine="480" w:firstLineChars="200"/>
        <w:rPr>
          <w:rFonts w:ascii="仿宋" w:hAnsi="仿宋" w:eastAsia="仿宋"/>
          <w:color w:val="auto"/>
          <w:sz w:val="24"/>
        </w:rPr>
      </w:pPr>
    </w:p>
    <w:p w14:paraId="28625C51">
      <w:pPr>
        <w:spacing w:line="360" w:lineRule="auto"/>
        <w:jc w:val="center"/>
        <w:rPr>
          <w:rFonts w:ascii="仿宋" w:hAnsi="仿宋" w:eastAsia="仿宋"/>
          <w:color w:val="auto"/>
          <w:sz w:val="24"/>
        </w:rPr>
      </w:pPr>
    </w:p>
    <w:p w14:paraId="441D56CB">
      <w:pPr>
        <w:spacing w:line="360" w:lineRule="auto"/>
        <w:jc w:val="center"/>
        <w:rPr>
          <w:rFonts w:ascii="仿宋" w:hAnsi="仿宋" w:eastAsia="仿宋"/>
          <w:color w:val="auto"/>
          <w:szCs w:val="21"/>
        </w:rPr>
      </w:pPr>
      <w:r>
        <w:rPr>
          <w:rFonts w:hint="eastAsia" w:ascii="仿宋" w:hAnsi="仿宋" w:eastAsia="仿宋"/>
          <w:color w:val="auto"/>
          <w:szCs w:val="21"/>
        </w:rPr>
        <w:t>（投标自行承诺及说明具备《中华人民共和国政府采购法》第二十二条规定的条件，内容自拟）</w:t>
      </w:r>
    </w:p>
    <w:p w14:paraId="405FFA0E">
      <w:pPr>
        <w:rPr>
          <w:rFonts w:ascii="仿宋" w:hAnsi="仿宋" w:eastAsia="仿宋" w:cs="仿宋"/>
          <w:color w:val="auto"/>
          <w:szCs w:val="21"/>
        </w:rPr>
      </w:pPr>
    </w:p>
    <w:p w14:paraId="4B1119C7">
      <w:pPr>
        <w:rPr>
          <w:rFonts w:ascii="仿宋" w:hAnsi="仿宋" w:eastAsia="仿宋" w:cs="仿宋"/>
          <w:color w:val="auto"/>
          <w:szCs w:val="21"/>
        </w:rPr>
      </w:pPr>
    </w:p>
    <w:p w14:paraId="76E56449">
      <w:pPr>
        <w:rPr>
          <w:rFonts w:ascii="仿宋" w:hAnsi="仿宋" w:eastAsia="仿宋" w:cs="仿宋"/>
          <w:color w:val="auto"/>
          <w:szCs w:val="21"/>
        </w:rPr>
      </w:pPr>
    </w:p>
    <w:p w14:paraId="578632F9">
      <w:pPr>
        <w:rPr>
          <w:rFonts w:ascii="仿宋" w:hAnsi="仿宋" w:eastAsia="仿宋" w:cs="仿宋"/>
          <w:color w:val="auto"/>
          <w:szCs w:val="21"/>
        </w:rPr>
      </w:pPr>
    </w:p>
    <w:p w14:paraId="1468D8DD">
      <w:pPr>
        <w:rPr>
          <w:rFonts w:ascii="仿宋" w:hAnsi="仿宋" w:eastAsia="仿宋" w:cs="仿宋"/>
          <w:color w:val="auto"/>
          <w:szCs w:val="21"/>
        </w:rPr>
      </w:pPr>
    </w:p>
    <w:p w14:paraId="36FE5CD5">
      <w:pPr>
        <w:widowControl/>
        <w:jc w:val="left"/>
        <w:rPr>
          <w:rFonts w:ascii="仿宋" w:hAnsi="仿宋" w:eastAsia="仿宋" w:cs="仿宋"/>
          <w:b/>
          <w:bCs/>
          <w:color w:val="auto"/>
          <w:sz w:val="29"/>
          <w:szCs w:val="21"/>
        </w:rPr>
      </w:pPr>
      <w:r>
        <w:rPr>
          <w:rFonts w:ascii="仿宋" w:hAnsi="仿宋" w:eastAsia="仿宋" w:cs="仿宋"/>
          <w:color w:val="auto"/>
          <w:sz w:val="29"/>
          <w:szCs w:val="21"/>
        </w:rPr>
        <w:br w:type="page"/>
      </w:r>
    </w:p>
    <w:p w14:paraId="491AD4CB">
      <w:pPr>
        <w:pStyle w:val="9"/>
        <w:numPr>
          <w:ilvl w:val="2"/>
          <w:numId w:val="0"/>
        </w:numPr>
        <w:spacing w:before="156" w:beforeLines="50" w:after="156" w:afterLines="50"/>
        <w:rPr>
          <w:rFonts w:ascii="仿宋" w:hAnsi="仿宋" w:eastAsia="仿宋" w:cs="仿宋"/>
          <w:color w:val="auto"/>
          <w:sz w:val="29"/>
          <w:szCs w:val="21"/>
        </w:rPr>
      </w:pPr>
      <w:r>
        <w:rPr>
          <w:rFonts w:hint="eastAsia" w:ascii="仿宋" w:hAnsi="仿宋" w:eastAsia="仿宋" w:cs="仿宋"/>
          <w:color w:val="auto"/>
          <w:sz w:val="29"/>
          <w:szCs w:val="21"/>
        </w:rPr>
        <w:t>四、具有履行合同所必需的专业技术能力和设施设备</w:t>
      </w:r>
    </w:p>
    <w:p w14:paraId="600EDF43">
      <w:pPr>
        <w:spacing w:line="360" w:lineRule="auto"/>
        <w:jc w:val="center"/>
        <w:rPr>
          <w:rFonts w:ascii="仿宋" w:hAnsi="仿宋" w:eastAsia="仿宋"/>
          <w:color w:val="auto"/>
          <w:sz w:val="24"/>
        </w:rPr>
      </w:pPr>
      <w:r>
        <w:rPr>
          <w:rFonts w:hint="eastAsia" w:ascii="仿宋" w:hAnsi="仿宋" w:eastAsia="仿宋" w:cs="仿宋"/>
          <w:color w:val="auto"/>
          <w:szCs w:val="21"/>
        </w:rPr>
        <w:t>（提供书面声明加盖公章</w:t>
      </w:r>
      <w:r>
        <w:rPr>
          <w:rFonts w:hint="eastAsia" w:ascii="仿宋" w:hAnsi="仿宋" w:eastAsia="仿宋"/>
          <w:color w:val="auto"/>
          <w:sz w:val="24"/>
        </w:rPr>
        <w:t>，内容自拟）</w:t>
      </w:r>
    </w:p>
    <w:p w14:paraId="1D3FF993">
      <w:pPr>
        <w:rPr>
          <w:rFonts w:ascii="仿宋" w:hAnsi="仿宋" w:eastAsia="仿宋" w:cs="仿宋"/>
          <w:color w:val="auto"/>
          <w:szCs w:val="21"/>
        </w:rPr>
      </w:pPr>
    </w:p>
    <w:p w14:paraId="674CEAA0">
      <w:pPr>
        <w:rPr>
          <w:rFonts w:ascii="仿宋" w:hAnsi="仿宋" w:eastAsia="仿宋" w:cs="仿宋"/>
          <w:color w:val="auto"/>
          <w:szCs w:val="21"/>
        </w:rPr>
      </w:pPr>
    </w:p>
    <w:p w14:paraId="11CBFBE0">
      <w:pPr>
        <w:rPr>
          <w:rFonts w:ascii="仿宋" w:hAnsi="仿宋" w:eastAsia="仿宋" w:cs="仿宋"/>
          <w:color w:val="auto"/>
          <w:szCs w:val="21"/>
        </w:rPr>
      </w:pPr>
    </w:p>
    <w:p w14:paraId="472A0707">
      <w:pPr>
        <w:rPr>
          <w:rFonts w:ascii="仿宋" w:hAnsi="仿宋" w:eastAsia="仿宋" w:cs="仿宋"/>
          <w:color w:val="auto"/>
          <w:szCs w:val="21"/>
        </w:rPr>
      </w:pPr>
    </w:p>
    <w:p w14:paraId="02CDDFAE">
      <w:pPr>
        <w:rPr>
          <w:rFonts w:ascii="仿宋" w:hAnsi="仿宋" w:eastAsia="仿宋" w:cs="仿宋"/>
          <w:color w:val="auto"/>
          <w:szCs w:val="21"/>
        </w:rPr>
      </w:pPr>
    </w:p>
    <w:p w14:paraId="4D70E48A">
      <w:pPr>
        <w:rPr>
          <w:rFonts w:ascii="仿宋" w:hAnsi="仿宋" w:eastAsia="仿宋" w:cs="仿宋"/>
          <w:color w:val="auto"/>
          <w:szCs w:val="21"/>
        </w:rPr>
      </w:pPr>
    </w:p>
    <w:p w14:paraId="2E368B55">
      <w:pPr>
        <w:rPr>
          <w:rFonts w:ascii="仿宋" w:hAnsi="仿宋" w:eastAsia="仿宋" w:cs="仿宋"/>
          <w:color w:val="auto"/>
          <w:szCs w:val="21"/>
        </w:rPr>
      </w:pPr>
    </w:p>
    <w:p w14:paraId="78380EDB">
      <w:pPr>
        <w:rPr>
          <w:rFonts w:ascii="仿宋" w:hAnsi="仿宋" w:eastAsia="仿宋" w:cs="仿宋"/>
          <w:color w:val="auto"/>
          <w:szCs w:val="21"/>
        </w:rPr>
      </w:pPr>
    </w:p>
    <w:p w14:paraId="3F03B2B3">
      <w:pPr>
        <w:rPr>
          <w:rFonts w:ascii="仿宋" w:hAnsi="仿宋" w:eastAsia="仿宋" w:cs="仿宋"/>
          <w:color w:val="auto"/>
          <w:szCs w:val="21"/>
        </w:rPr>
      </w:pPr>
    </w:p>
    <w:p w14:paraId="69687D52">
      <w:pPr>
        <w:rPr>
          <w:rFonts w:ascii="仿宋" w:hAnsi="仿宋" w:eastAsia="仿宋" w:cs="仿宋"/>
          <w:color w:val="auto"/>
          <w:szCs w:val="21"/>
        </w:rPr>
      </w:pPr>
    </w:p>
    <w:p w14:paraId="564AB822">
      <w:pPr>
        <w:jc w:val="center"/>
        <w:outlineLvl w:val="2"/>
        <w:rPr>
          <w:rFonts w:ascii="仿宋" w:hAnsi="仿宋" w:eastAsia="仿宋" w:cs="仿宋"/>
          <w:b/>
          <w:color w:val="auto"/>
          <w:sz w:val="28"/>
          <w:szCs w:val="28"/>
        </w:rPr>
      </w:pPr>
      <w:bookmarkStart w:id="329" w:name="_Toc32458"/>
      <w:bookmarkEnd w:id="329"/>
      <w:bookmarkStart w:id="330" w:name="_Toc465786608"/>
      <w:bookmarkEnd w:id="330"/>
      <w:bookmarkStart w:id="331" w:name="_Toc465786750"/>
      <w:bookmarkEnd w:id="331"/>
      <w:bookmarkStart w:id="332" w:name="_Toc479699572"/>
      <w:bookmarkEnd w:id="332"/>
      <w:bookmarkStart w:id="333" w:name="_Toc18848"/>
      <w:bookmarkEnd w:id="333"/>
      <w:bookmarkStart w:id="334" w:name="_Toc11561"/>
      <w:bookmarkEnd w:id="334"/>
      <w:bookmarkStart w:id="335" w:name="_Toc366144110"/>
      <w:bookmarkEnd w:id="335"/>
      <w:bookmarkStart w:id="336" w:name="_Toc27061"/>
      <w:bookmarkEnd w:id="336"/>
      <w:bookmarkStart w:id="337" w:name="_Toc29042"/>
      <w:bookmarkStart w:id="338" w:name="_Toc366144111"/>
      <w:bookmarkStart w:id="339" w:name="_Toc17739"/>
      <w:bookmarkStart w:id="340" w:name="_Toc24566"/>
      <w:r>
        <w:rPr>
          <w:rFonts w:hint="eastAsia" w:ascii="仿宋" w:hAnsi="仿宋" w:eastAsia="仿宋" w:cs="仿宋"/>
          <w:color w:val="auto"/>
          <w:szCs w:val="21"/>
        </w:rPr>
        <w:br w:type="page"/>
      </w:r>
      <w:r>
        <w:rPr>
          <w:rFonts w:hint="eastAsia" w:ascii="仿宋" w:hAnsi="仿宋" w:eastAsia="仿宋" w:cs="仿宋"/>
          <w:b/>
          <w:color w:val="auto"/>
          <w:sz w:val="28"/>
          <w:szCs w:val="28"/>
        </w:rPr>
        <w:t>五、投标人信誉情况</w:t>
      </w:r>
    </w:p>
    <w:p w14:paraId="52110EF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8"/>
        </w:rPr>
        <w:t>投标人没有处于被责令停业、投标资格被暂停或取消、财产被接管、冻结、破产等状态；202</w:t>
      </w:r>
      <w:r>
        <w:rPr>
          <w:rFonts w:hint="eastAsia" w:ascii="仿宋" w:hAnsi="仿宋" w:eastAsia="仿宋" w:cs="仿宋"/>
          <w:color w:val="auto"/>
          <w:szCs w:val="28"/>
          <w:lang w:val="en-US" w:eastAsia="zh-CN"/>
        </w:rPr>
        <w:t>2</w:t>
      </w:r>
      <w:r>
        <w:rPr>
          <w:rFonts w:hint="eastAsia" w:ascii="仿宋" w:hAnsi="仿宋" w:eastAsia="仿宋" w:cs="仿宋"/>
          <w:color w:val="auto"/>
          <w:szCs w:val="28"/>
        </w:rPr>
        <w:t>年1月1日至今没有骗取中标和严重违约、没有被项目所在地政府或国家部委禁止市场准入等情形（提供承诺书或相关证明材料）。</w:t>
      </w:r>
    </w:p>
    <w:bookmarkEnd w:id="337"/>
    <w:bookmarkEnd w:id="338"/>
    <w:bookmarkEnd w:id="339"/>
    <w:bookmarkEnd w:id="340"/>
    <w:p w14:paraId="783A1D20">
      <w:pPr>
        <w:rPr>
          <w:rFonts w:ascii="仿宋" w:hAnsi="仿宋" w:eastAsia="仿宋" w:cs="仿宋"/>
          <w:color w:val="auto"/>
          <w:sz w:val="28"/>
          <w:szCs w:val="28"/>
        </w:rPr>
      </w:pPr>
      <w:bookmarkStart w:id="341" w:name="_Toc27321"/>
      <w:bookmarkStart w:id="342" w:name="_Toc11118"/>
      <w:bookmarkStart w:id="343" w:name="_Toc18069"/>
      <w:bookmarkStart w:id="344" w:name="_Toc366144112"/>
      <w:r>
        <w:rPr>
          <w:rFonts w:hint="eastAsia" w:ascii="仿宋" w:hAnsi="仿宋" w:eastAsia="仿宋" w:cs="仿宋"/>
          <w:color w:val="auto"/>
          <w:sz w:val="28"/>
          <w:szCs w:val="28"/>
        </w:rPr>
        <w:br w:type="page"/>
      </w:r>
    </w:p>
    <w:bookmarkEnd w:id="341"/>
    <w:bookmarkEnd w:id="342"/>
    <w:bookmarkEnd w:id="343"/>
    <w:bookmarkEnd w:id="344"/>
    <w:p w14:paraId="5DD65BAE">
      <w:pPr>
        <w:jc w:val="center"/>
        <w:outlineLvl w:val="2"/>
        <w:rPr>
          <w:rFonts w:ascii="仿宋" w:hAnsi="仿宋" w:eastAsia="仿宋" w:cs="仿宋"/>
          <w:b/>
          <w:color w:val="auto"/>
          <w:sz w:val="28"/>
          <w:szCs w:val="28"/>
        </w:rPr>
      </w:pPr>
      <w:bookmarkStart w:id="345" w:name="_Toc21743"/>
      <w:bookmarkEnd w:id="345"/>
      <w:r>
        <w:rPr>
          <w:rFonts w:hint="eastAsia" w:ascii="仿宋" w:hAnsi="仿宋" w:eastAsia="仿宋" w:cs="仿宋"/>
          <w:b/>
          <w:color w:val="auto"/>
          <w:sz w:val="28"/>
          <w:szCs w:val="28"/>
        </w:rPr>
        <w:t>六、投标人承诺书</w:t>
      </w:r>
    </w:p>
    <w:p w14:paraId="6C2720ED">
      <w:pPr>
        <w:jc w:val="center"/>
        <w:rPr>
          <w:rFonts w:ascii="仿宋" w:hAnsi="仿宋" w:eastAsia="仿宋" w:cs="仿宋"/>
          <w:color w:val="auto"/>
          <w:u w:val="single"/>
        </w:rPr>
      </w:pPr>
    </w:p>
    <w:p w14:paraId="36AE7BE4">
      <w:pPr>
        <w:spacing w:line="360" w:lineRule="auto"/>
        <w:ind w:firstLine="420" w:firstLineChars="200"/>
        <w:rPr>
          <w:rFonts w:ascii="仿宋" w:hAnsi="仿宋" w:eastAsia="仿宋" w:cs="仿宋"/>
          <w:color w:val="auto"/>
        </w:rPr>
      </w:pPr>
      <w:r>
        <w:rPr>
          <w:rFonts w:hint="eastAsia" w:ascii="仿宋" w:hAnsi="仿宋" w:eastAsia="仿宋" w:cs="仿宋"/>
          <w:color w:val="auto"/>
        </w:rPr>
        <w:t>本企业参与</w:t>
      </w:r>
      <w:r>
        <w:rPr>
          <w:rFonts w:hint="eastAsia" w:ascii="仿宋" w:hAnsi="仿宋" w:eastAsia="仿宋" w:cs="仿宋"/>
          <w:color w:val="auto"/>
          <w:u w:val="single"/>
        </w:rPr>
        <w:t xml:space="preserve">                          </w:t>
      </w:r>
      <w:r>
        <w:rPr>
          <w:rFonts w:hint="eastAsia" w:ascii="仿宋" w:hAnsi="仿宋" w:eastAsia="仿宋" w:cs="仿宋"/>
          <w:color w:val="auto"/>
        </w:rPr>
        <w:t>项目的投标，现作如下承诺：</w:t>
      </w:r>
    </w:p>
    <w:p w14:paraId="4F674856">
      <w:pPr>
        <w:spacing w:line="360" w:lineRule="auto"/>
        <w:ind w:firstLine="420" w:firstLineChars="200"/>
        <w:rPr>
          <w:rFonts w:ascii="仿宋" w:hAnsi="仿宋" w:eastAsia="仿宋" w:cs="仿宋"/>
          <w:color w:val="auto"/>
        </w:rPr>
      </w:pPr>
      <w:r>
        <w:rPr>
          <w:rFonts w:hint="eastAsia" w:ascii="仿宋" w:hAnsi="仿宋" w:eastAsia="仿宋" w:cs="仿宋"/>
          <w:color w:val="auto"/>
          <w:lang w:eastAsia="zh-CN"/>
        </w:rPr>
        <w:t>1.</w:t>
      </w:r>
      <w:r>
        <w:rPr>
          <w:rFonts w:hint="eastAsia" w:ascii="仿宋" w:hAnsi="仿宋" w:eastAsia="仿宋" w:cs="仿宋"/>
          <w:color w:val="auto"/>
        </w:rPr>
        <w:t>我公司参与此次投标活动所提交的所有资料都是合法、真实、有效的。</w:t>
      </w:r>
    </w:p>
    <w:p w14:paraId="24DC56DD">
      <w:pPr>
        <w:spacing w:line="360" w:lineRule="auto"/>
        <w:ind w:firstLine="420" w:firstLineChars="200"/>
        <w:rPr>
          <w:rFonts w:ascii="仿宋" w:hAnsi="仿宋" w:eastAsia="仿宋" w:cs="仿宋"/>
          <w:color w:val="auto"/>
        </w:rPr>
      </w:pPr>
      <w:r>
        <w:rPr>
          <w:rFonts w:hint="eastAsia" w:ascii="仿宋" w:hAnsi="仿宋" w:eastAsia="仿宋" w:cs="仿宋"/>
          <w:color w:val="auto"/>
          <w:lang w:eastAsia="zh-CN"/>
        </w:rPr>
        <w:t>2.</w:t>
      </w:r>
      <w:r>
        <w:rPr>
          <w:rFonts w:hint="eastAsia" w:ascii="仿宋" w:hAnsi="仿宋" w:eastAsia="仿宋" w:cs="仿宋"/>
          <w:color w:val="auto"/>
        </w:rPr>
        <w:t>不与其他投标人串通投标、围标，依法、依规公平竞争，不损害招标人或其他投标人的合法权益。</w:t>
      </w:r>
    </w:p>
    <w:p w14:paraId="320CDA77">
      <w:pPr>
        <w:spacing w:line="360" w:lineRule="auto"/>
        <w:ind w:firstLine="420" w:firstLineChars="200"/>
        <w:rPr>
          <w:rFonts w:ascii="仿宋" w:hAnsi="仿宋" w:eastAsia="仿宋" w:cs="仿宋"/>
          <w:color w:val="auto"/>
        </w:rPr>
      </w:pPr>
      <w:r>
        <w:rPr>
          <w:rFonts w:hint="eastAsia" w:ascii="仿宋" w:hAnsi="仿宋" w:eastAsia="仿宋" w:cs="仿宋"/>
          <w:color w:val="auto"/>
          <w:lang w:eastAsia="zh-CN"/>
        </w:rPr>
        <w:t>3.</w:t>
      </w:r>
      <w:r>
        <w:rPr>
          <w:rFonts w:hint="eastAsia" w:ascii="仿宋" w:hAnsi="仿宋" w:eastAsia="仿宋" w:cs="仿宋"/>
          <w:color w:val="auto"/>
        </w:rPr>
        <w:t>不转让、出租、出借资质证书、人员岗位证书，不以法律、法规禁止的方式投标。</w:t>
      </w:r>
    </w:p>
    <w:p w14:paraId="27092B23">
      <w:pPr>
        <w:spacing w:line="360" w:lineRule="auto"/>
        <w:ind w:firstLine="420" w:firstLineChars="200"/>
        <w:rPr>
          <w:rFonts w:ascii="仿宋" w:hAnsi="仿宋" w:eastAsia="仿宋" w:cs="仿宋"/>
          <w:color w:val="auto"/>
        </w:rPr>
      </w:pPr>
      <w:r>
        <w:rPr>
          <w:rFonts w:hint="eastAsia" w:ascii="仿宋" w:hAnsi="仿宋" w:eastAsia="仿宋" w:cs="仿宋"/>
          <w:color w:val="auto"/>
          <w:lang w:eastAsia="zh-CN"/>
        </w:rPr>
        <w:t>4.</w:t>
      </w:r>
      <w:r>
        <w:rPr>
          <w:rFonts w:hint="eastAsia" w:ascii="仿宋" w:hAnsi="仿宋" w:eastAsia="仿宋" w:cs="仿宋"/>
          <w:color w:val="auto"/>
        </w:rPr>
        <w:t>不与招标人串通投标，不损害国家利益、社会公共利益或其他当事人的合法权益。</w:t>
      </w:r>
    </w:p>
    <w:p w14:paraId="534E28A7">
      <w:pPr>
        <w:spacing w:line="360" w:lineRule="auto"/>
        <w:ind w:firstLine="420" w:firstLineChars="200"/>
        <w:rPr>
          <w:rFonts w:ascii="仿宋" w:hAnsi="仿宋" w:eastAsia="仿宋" w:cs="仿宋"/>
          <w:color w:val="auto"/>
        </w:rPr>
      </w:pPr>
      <w:r>
        <w:rPr>
          <w:rFonts w:hint="eastAsia" w:ascii="仿宋" w:hAnsi="仿宋" w:eastAsia="仿宋" w:cs="仿宋"/>
          <w:color w:val="auto"/>
          <w:lang w:eastAsia="zh-CN"/>
        </w:rPr>
        <w:t>5.</w:t>
      </w:r>
      <w:r>
        <w:rPr>
          <w:rFonts w:hint="eastAsia" w:ascii="仿宋" w:hAnsi="仿宋" w:eastAsia="仿宋" w:cs="仿宋"/>
          <w:color w:val="auto"/>
        </w:rPr>
        <w:t>不向招标人、评标委员会成员、监督人员行贿。</w:t>
      </w:r>
    </w:p>
    <w:p w14:paraId="5108D7A9">
      <w:pPr>
        <w:spacing w:line="360" w:lineRule="auto"/>
        <w:ind w:firstLine="420" w:firstLineChars="200"/>
        <w:rPr>
          <w:rFonts w:ascii="仿宋" w:hAnsi="仿宋" w:eastAsia="仿宋" w:cs="仿宋"/>
          <w:color w:val="auto"/>
        </w:rPr>
      </w:pPr>
      <w:r>
        <w:rPr>
          <w:rFonts w:hint="eastAsia" w:ascii="仿宋" w:hAnsi="仿宋" w:eastAsia="仿宋" w:cs="仿宋"/>
          <w:color w:val="auto"/>
          <w:lang w:eastAsia="zh-CN"/>
        </w:rPr>
        <w:t>6.</w:t>
      </w:r>
      <w:r>
        <w:rPr>
          <w:rFonts w:hint="eastAsia" w:ascii="仿宋" w:hAnsi="仿宋" w:eastAsia="仿宋" w:cs="仿宋"/>
          <w:color w:val="auto"/>
        </w:rPr>
        <w:t>不进行虚假恶意投诉。</w:t>
      </w:r>
    </w:p>
    <w:p w14:paraId="12302048">
      <w:pPr>
        <w:spacing w:line="360" w:lineRule="auto"/>
        <w:ind w:firstLine="420" w:firstLineChars="200"/>
        <w:rPr>
          <w:rFonts w:ascii="仿宋" w:hAnsi="仿宋" w:eastAsia="仿宋" w:cs="仿宋"/>
          <w:color w:val="auto"/>
        </w:rPr>
      </w:pPr>
      <w:r>
        <w:rPr>
          <w:rFonts w:hint="eastAsia" w:ascii="仿宋" w:hAnsi="仿宋" w:eastAsia="仿宋" w:cs="仿宋"/>
          <w:color w:val="auto"/>
          <w:lang w:eastAsia="zh-CN"/>
        </w:rPr>
        <w:t>7.</w:t>
      </w:r>
      <w:r>
        <w:rPr>
          <w:rFonts w:hint="eastAsia" w:ascii="仿宋" w:hAnsi="仿宋" w:eastAsia="仿宋" w:cs="仿宋"/>
          <w:color w:val="auto"/>
        </w:rPr>
        <w:t>因违反法律、法规或相关规定被查处的，不干预案件查处。</w:t>
      </w:r>
    </w:p>
    <w:p w14:paraId="0BDC51A2">
      <w:pPr>
        <w:spacing w:line="360" w:lineRule="auto"/>
        <w:rPr>
          <w:rFonts w:ascii="仿宋" w:hAnsi="仿宋" w:eastAsia="仿宋" w:cs="仿宋"/>
          <w:color w:val="auto"/>
        </w:rPr>
      </w:pPr>
      <w:r>
        <w:rPr>
          <w:rFonts w:hint="eastAsia" w:ascii="仿宋" w:hAnsi="仿宋" w:eastAsia="仿宋" w:cs="仿宋"/>
          <w:color w:val="auto"/>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14:paraId="19F5B356">
      <w:pPr>
        <w:spacing w:line="360" w:lineRule="auto"/>
        <w:rPr>
          <w:rFonts w:ascii="仿宋" w:hAnsi="仿宋" w:eastAsia="仿宋" w:cs="仿宋"/>
          <w:color w:val="auto"/>
        </w:rPr>
      </w:pPr>
    </w:p>
    <w:p w14:paraId="0B049A3E">
      <w:pPr>
        <w:spacing w:line="800" w:lineRule="exact"/>
        <w:rPr>
          <w:rFonts w:ascii="仿宋" w:hAnsi="仿宋" w:eastAsia="仿宋" w:cs="仿宋"/>
          <w:color w:val="auto"/>
          <w:u w:val="single"/>
        </w:rPr>
      </w:pPr>
      <w:r>
        <w:rPr>
          <w:rFonts w:hint="eastAsia" w:ascii="仿宋" w:hAnsi="仿宋" w:eastAsia="仿宋" w:cs="仿宋"/>
          <w:color w:val="auto"/>
        </w:rPr>
        <w:t>投标人（加盖鲜章）：</w:t>
      </w:r>
      <w:r>
        <w:rPr>
          <w:rFonts w:hint="eastAsia" w:ascii="仿宋" w:hAnsi="仿宋" w:eastAsia="仿宋" w:cs="仿宋"/>
          <w:color w:val="auto"/>
          <w:u w:val="single"/>
        </w:rPr>
        <w:t xml:space="preserve">                              </w:t>
      </w:r>
    </w:p>
    <w:p w14:paraId="1C20037A">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r>
        <w:rPr>
          <w:rFonts w:hint="eastAsia" w:ascii="仿宋" w:hAnsi="仿宋" w:eastAsia="仿宋" w:cs="仿宋"/>
          <w:color w:val="auto"/>
          <w:u w:val="single"/>
        </w:rPr>
        <w:t xml:space="preserve">                        </w:t>
      </w:r>
    </w:p>
    <w:p w14:paraId="790EE993">
      <w:pPr>
        <w:spacing w:line="800" w:lineRule="exact"/>
        <w:rPr>
          <w:rFonts w:ascii="仿宋" w:hAnsi="仿宋" w:eastAsia="仿宋" w:cs="仿宋"/>
          <w:color w:val="auto"/>
          <w:szCs w:val="21"/>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A44B920">
      <w:pPr>
        <w:spacing w:line="360" w:lineRule="auto"/>
        <w:jc w:val="center"/>
        <w:outlineLvl w:val="2"/>
        <w:rPr>
          <w:rFonts w:ascii="仿宋" w:hAnsi="仿宋" w:eastAsia="仿宋" w:cs="仿宋"/>
          <w:b/>
          <w:color w:val="auto"/>
          <w:sz w:val="28"/>
          <w:szCs w:val="28"/>
        </w:rPr>
      </w:pPr>
      <w:bookmarkStart w:id="346" w:name="_Toc13951"/>
      <w:bookmarkEnd w:id="346"/>
      <w:bookmarkStart w:id="347" w:name="_Toc28837"/>
      <w:bookmarkEnd w:id="347"/>
      <w:bookmarkStart w:id="348" w:name="_Toc12321"/>
      <w:bookmarkEnd w:id="348"/>
      <w:bookmarkStart w:id="349" w:name="_Toc366144113"/>
      <w:bookmarkEnd w:id="349"/>
      <w:r>
        <w:rPr>
          <w:rFonts w:hint="eastAsia" w:ascii="仿宋" w:hAnsi="仿宋" w:eastAsia="仿宋" w:cs="仿宋"/>
          <w:color w:val="auto"/>
          <w:szCs w:val="21"/>
        </w:rPr>
        <w:br w:type="page"/>
      </w:r>
      <w:r>
        <w:rPr>
          <w:rFonts w:hint="eastAsia" w:ascii="仿宋" w:hAnsi="仿宋" w:eastAsia="仿宋" w:cs="仿宋"/>
          <w:b/>
          <w:color w:val="auto"/>
          <w:sz w:val="28"/>
          <w:szCs w:val="28"/>
        </w:rPr>
        <w:t>七、其他材料</w:t>
      </w:r>
    </w:p>
    <w:p w14:paraId="3B443C4B">
      <w:pPr>
        <w:jc w:val="center"/>
        <w:rPr>
          <w:rFonts w:ascii="仿宋" w:hAnsi="仿宋" w:eastAsia="仿宋" w:cs="仿宋"/>
          <w:color w:val="auto"/>
          <w:u w:val="single"/>
        </w:rPr>
      </w:pPr>
    </w:p>
    <w:p w14:paraId="2B9CE81D">
      <w:pPr>
        <w:spacing w:line="390" w:lineRule="exact"/>
        <w:ind w:firstLine="420" w:firstLineChars="200"/>
        <w:jc w:val="center"/>
        <w:rPr>
          <w:rFonts w:ascii="仿宋" w:hAnsi="仿宋" w:eastAsia="仿宋" w:cs="仿宋"/>
          <w:color w:val="auto"/>
          <w:szCs w:val="21"/>
        </w:rPr>
      </w:pPr>
      <w:r>
        <w:rPr>
          <w:rFonts w:hint="eastAsia" w:ascii="仿宋" w:hAnsi="仿宋" w:eastAsia="仿宋" w:cs="仿宋"/>
          <w:color w:val="auto"/>
          <w:szCs w:val="21"/>
        </w:rPr>
        <w:t>如：比选文件要求的或者投标人认为有必要提供的资格审查材料。</w:t>
      </w:r>
    </w:p>
    <w:p w14:paraId="2957710F">
      <w:pPr>
        <w:pStyle w:val="8"/>
        <w:numPr>
          <w:ilvl w:val="1"/>
          <w:numId w:val="0"/>
        </w:numPr>
        <w:spacing w:line="416" w:lineRule="auto"/>
        <w:rPr>
          <w:rFonts w:ascii="仿宋" w:hAnsi="仿宋" w:eastAsia="仿宋" w:cs="仿宋"/>
          <w:color w:val="auto"/>
          <w:sz w:val="32"/>
          <w:szCs w:val="28"/>
        </w:rPr>
      </w:pPr>
      <w:bookmarkStart w:id="350" w:name="_Toc9149"/>
      <w:bookmarkEnd w:id="350"/>
      <w:bookmarkStart w:id="351" w:name="_Toc1978"/>
      <w:bookmarkEnd w:id="351"/>
      <w:bookmarkStart w:id="352" w:name="_Toc366144115"/>
      <w:bookmarkEnd w:id="352"/>
      <w:bookmarkStart w:id="353" w:name="_Toc15385"/>
      <w:bookmarkEnd w:id="353"/>
      <w:bookmarkStart w:id="354" w:name="_Toc306524563"/>
      <w:r>
        <w:rPr>
          <w:rFonts w:hint="eastAsia" w:ascii="仿宋" w:hAnsi="仿宋" w:eastAsia="仿宋" w:cs="仿宋"/>
          <w:color w:val="auto"/>
        </w:rPr>
        <w:br w:type="page"/>
      </w:r>
      <w:r>
        <w:rPr>
          <w:rFonts w:hint="eastAsia" w:ascii="仿宋" w:hAnsi="仿宋" w:eastAsia="仿宋" w:cs="仿宋"/>
          <w:color w:val="auto"/>
          <w:sz w:val="32"/>
          <w:szCs w:val="28"/>
        </w:rPr>
        <w:t>第二部分 投标文件服务部分格式</w:t>
      </w:r>
    </w:p>
    <w:bookmarkEnd w:id="354"/>
    <w:p w14:paraId="16E528DF">
      <w:pPr>
        <w:pStyle w:val="9"/>
        <w:numPr>
          <w:ilvl w:val="0"/>
          <w:numId w:val="0"/>
        </w:numPr>
        <w:spacing w:before="156" w:beforeLines="50" w:after="156" w:afterLines="50"/>
        <w:rPr>
          <w:rFonts w:ascii="仿宋" w:hAnsi="仿宋" w:eastAsia="仿宋" w:cs="仿宋"/>
          <w:color w:val="auto"/>
          <w:sz w:val="28"/>
          <w:szCs w:val="28"/>
        </w:rPr>
      </w:pPr>
      <w:bookmarkStart w:id="355" w:name="_Toc345658847"/>
      <w:bookmarkEnd w:id="355"/>
      <w:bookmarkStart w:id="356" w:name="_Toc21556"/>
      <w:bookmarkEnd w:id="356"/>
      <w:bookmarkStart w:id="357" w:name="_Toc3481"/>
      <w:bookmarkEnd w:id="357"/>
      <w:bookmarkStart w:id="358" w:name="_Toc311560491"/>
      <w:bookmarkEnd w:id="358"/>
      <w:bookmarkStart w:id="359" w:name="_Toc16565"/>
      <w:bookmarkEnd w:id="359"/>
      <w:bookmarkStart w:id="360" w:name="_Toc311640199"/>
      <w:bookmarkEnd w:id="360"/>
      <w:bookmarkStart w:id="361" w:name="_Toc311020419"/>
      <w:bookmarkEnd w:id="361"/>
      <w:bookmarkStart w:id="362" w:name="_Toc18292"/>
      <w:bookmarkEnd w:id="362"/>
      <w:r>
        <w:rPr>
          <w:rFonts w:hint="eastAsia" w:ascii="仿宋" w:hAnsi="仿宋" w:eastAsia="仿宋" w:cs="仿宋"/>
          <w:color w:val="auto"/>
          <w:sz w:val="28"/>
          <w:szCs w:val="28"/>
        </w:rPr>
        <w:t>一、投标报价一览表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0E760236">
        <w:trPr>
          <w:trHeight w:val="555" w:hRule="atLeast"/>
          <w:jc w:val="center"/>
        </w:trPr>
        <w:tc>
          <w:tcPr>
            <w:tcW w:w="2943" w:type="dxa"/>
            <w:vAlign w:val="center"/>
          </w:tcPr>
          <w:p w14:paraId="275582D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641937FB">
            <w:pPr>
              <w:tabs>
                <w:tab w:val="left" w:pos="720"/>
                <w:tab w:val="left" w:pos="8295"/>
              </w:tabs>
              <w:spacing w:line="400" w:lineRule="exact"/>
              <w:rPr>
                <w:rFonts w:ascii="仿宋" w:hAnsi="仿宋" w:eastAsia="仿宋" w:cs="仿宋"/>
                <w:color w:val="auto"/>
                <w:szCs w:val="21"/>
              </w:rPr>
            </w:pPr>
          </w:p>
        </w:tc>
      </w:tr>
      <w:tr w14:paraId="732CC7F8">
        <w:trPr>
          <w:trHeight w:val="1349" w:hRule="atLeast"/>
          <w:jc w:val="center"/>
        </w:trPr>
        <w:tc>
          <w:tcPr>
            <w:tcW w:w="2943" w:type="dxa"/>
            <w:vAlign w:val="center"/>
          </w:tcPr>
          <w:p w14:paraId="76AF261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71527250">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EA8F497">
            <w:pPr>
              <w:pStyle w:val="44"/>
              <w:rPr>
                <w:rFonts w:hint="eastAsia"/>
                <w:color w:val="auto"/>
                <w:lang w:eastAsia="zh-CN"/>
              </w:rPr>
            </w:pPr>
          </w:p>
          <w:p w14:paraId="3DD1D96A">
            <w:pPr>
              <w:pStyle w:val="5"/>
              <w:rPr>
                <w:rFonts w:ascii="仿宋" w:hAnsi="仿宋" w:eastAsia="仿宋" w:cs="仿宋"/>
                <w:color w:val="auto"/>
              </w:rPr>
            </w:pPr>
            <w:r>
              <w:rPr>
                <w:rFonts w:hint="eastAsia" w:ascii="仿宋" w:hAnsi="仿宋" w:eastAsia="仿宋" w:cs="仿宋"/>
                <w:color w:val="auto"/>
                <w:szCs w:val="21"/>
              </w:rPr>
              <w:t>小写：</w:t>
            </w:r>
          </w:p>
        </w:tc>
      </w:tr>
      <w:tr w14:paraId="7BBD39F1">
        <w:trPr>
          <w:trHeight w:val="754" w:hRule="atLeast"/>
          <w:jc w:val="center"/>
        </w:trPr>
        <w:tc>
          <w:tcPr>
            <w:tcW w:w="2943" w:type="dxa"/>
            <w:vAlign w:val="center"/>
          </w:tcPr>
          <w:p w14:paraId="275D1ADD">
            <w:pPr>
              <w:jc w:val="center"/>
              <w:rPr>
                <w:rFonts w:hint="eastAsia" w:ascii="仿宋" w:hAnsi="仿宋" w:eastAsia="仿宋" w:cs="仿宋"/>
                <w:bCs/>
                <w:color w:val="auto"/>
                <w:szCs w:val="21"/>
                <w:lang w:eastAsia="zh-CN"/>
              </w:rPr>
            </w:pPr>
            <w:r>
              <w:rPr>
                <w:rFonts w:hint="eastAsia" w:ascii="仿宋" w:hAnsi="仿宋" w:eastAsia="仿宋" w:cs="仿宋"/>
                <w:bCs/>
                <w:color w:val="auto"/>
                <w:szCs w:val="21"/>
                <w:lang w:val="en-US" w:eastAsia="zh-CN"/>
              </w:rPr>
              <w:t>质保期</w:t>
            </w:r>
          </w:p>
        </w:tc>
        <w:tc>
          <w:tcPr>
            <w:tcW w:w="6061" w:type="dxa"/>
            <w:vAlign w:val="center"/>
          </w:tcPr>
          <w:p w14:paraId="61919A0C">
            <w:pPr>
              <w:tabs>
                <w:tab w:val="left" w:pos="720"/>
                <w:tab w:val="left" w:pos="8295"/>
              </w:tabs>
              <w:spacing w:line="400" w:lineRule="exact"/>
              <w:rPr>
                <w:rFonts w:ascii="仿宋" w:hAnsi="仿宋" w:eastAsia="仿宋" w:cs="仿宋"/>
                <w:color w:val="auto"/>
                <w:szCs w:val="21"/>
              </w:rPr>
            </w:pPr>
          </w:p>
        </w:tc>
      </w:tr>
      <w:tr w14:paraId="4237B446">
        <w:trPr>
          <w:trHeight w:val="761" w:hRule="atLeast"/>
          <w:jc w:val="center"/>
        </w:trPr>
        <w:tc>
          <w:tcPr>
            <w:tcW w:w="2943" w:type="dxa"/>
            <w:vAlign w:val="center"/>
          </w:tcPr>
          <w:p w14:paraId="1F45953C">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7FA420EB">
            <w:pPr>
              <w:tabs>
                <w:tab w:val="left" w:pos="720"/>
                <w:tab w:val="left" w:pos="8295"/>
              </w:tabs>
              <w:spacing w:line="400" w:lineRule="exact"/>
              <w:rPr>
                <w:rFonts w:ascii="仿宋" w:hAnsi="仿宋" w:eastAsia="仿宋" w:cs="仿宋"/>
                <w:color w:val="auto"/>
                <w:szCs w:val="21"/>
              </w:rPr>
            </w:pPr>
          </w:p>
        </w:tc>
      </w:tr>
      <w:tr w14:paraId="0E373D95">
        <w:trPr>
          <w:trHeight w:val="807" w:hRule="atLeast"/>
          <w:jc w:val="center"/>
        </w:trPr>
        <w:tc>
          <w:tcPr>
            <w:tcW w:w="2943" w:type="dxa"/>
            <w:vAlign w:val="center"/>
          </w:tcPr>
          <w:p w14:paraId="694D89C0">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26633393">
            <w:pPr>
              <w:tabs>
                <w:tab w:val="left" w:pos="720"/>
                <w:tab w:val="left" w:pos="8295"/>
              </w:tabs>
              <w:spacing w:line="400" w:lineRule="exact"/>
              <w:rPr>
                <w:rFonts w:ascii="仿宋" w:hAnsi="仿宋" w:eastAsia="仿宋" w:cs="仿宋"/>
                <w:color w:val="auto"/>
                <w:szCs w:val="21"/>
              </w:rPr>
            </w:pPr>
          </w:p>
        </w:tc>
      </w:tr>
      <w:tr w14:paraId="35DBCCBB">
        <w:trPr>
          <w:trHeight w:val="2011" w:hRule="atLeast"/>
          <w:jc w:val="center"/>
        </w:trPr>
        <w:tc>
          <w:tcPr>
            <w:tcW w:w="9004" w:type="dxa"/>
            <w:gridSpan w:val="2"/>
            <w:vAlign w:val="center"/>
          </w:tcPr>
          <w:p w14:paraId="4DB852DF">
            <w:pPr>
              <w:tabs>
                <w:tab w:val="left" w:pos="720"/>
                <w:tab w:val="left" w:pos="8295"/>
              </w:tabs>
              <w:spacing w:line="400" w:lineRule="exact"/>
              <w:rPr>
                <w:rFonts w:ascii="仿宋" w:hAnsi="仿宋" w:eastAsia="仿宋" w:cs="仿宋"/>
                <w:color w:val="auto"/>
                <w:szCs w:val="21"/>
              </w:rPr>
            </w:pPr>
          </w:p>
          <w:p w14:paraId="7D20B3F8">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3886F906">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6F3DA19B">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8540E90">
            <w:pPr>
              <w:tabs>
                <w:tab w:val="left" w:pos="720"/>
                <w:tab w:val="left" w:pos="8295"/>
              </w:tabs>
              <w:spacing w:line="400" w:lineRule="exact"/>
              <w:rPr>
                <w:rFonts w:ascii="仿宋" w:hAnsi="仿宋" w:eastAsia="仿宋" w:cs="仿宋"/>
                <w:color w:val="auto"/>
                <w:szCs w:val="21"/>
              </w:rPr>
            </w:pPr>
          </w:p>
        </w:tc>
      </w:tr>
    </w:tbl>
    <w:p w14:paraId="22615037">
      <w:pPr>
        <w:rPr>
          <w:color w:val="auto"/>
        </w:rPr>
      </w:pPr>
    </w:p>
    <w:p w14:paraId="0485DD4D">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4F2B23AE">
      <w:pPr>
        <w:spacing w:line="360" w:lineRule="auto"/>
        <w:rPr>
          <w:rFonts w:ascii="仿宋" w:hAnsi="仿宋" w:eastAsia="仿宋" w:cs="仿宋"/>
          <w:color w:val="auto"/>
          <w:sz w:val="24"/>
        </w:rPr>
      </w:pPr>
      <w:r>
        <w:rPr>
          <w:rFonts w:hint="eastAsia" w:ascii="仿宋" w:hAnsi="仿宋" w:eastAsia="仿宋" w:cs="仿宋"/>
          <w:color w:val="auto"/>
          <w:sz w:val="24"/>
        </w:rPr>
        <w:t xml:space="preserve">      </w:t>
      </w:r>
      <w:r>
        <w:rPr>
          <w:rFonts w:hint="eastAsia" w:ascii="仿宋" w:hAnsi="仿宋" w:eastAsia="仿宋" w:cs="仿宋"/>
          <w:color w:val="auto"/>
          <w:sz w:val="24"/>
          <w:lang w:eastAsia="zh-CN"/>
        </w:rPr>
        <w:t>2.</w:t>
      </w:r>
      <w:r>
        <w:rPr>
          <w:rFonts w:hint="eastAsia" w:ascii="仿宋" w:hAnsi="仿宋" w:eastAsia="仿宋" w:cs="仿宋"/>
          <w:color w:val="auto"/>
          <w:sz w:val="24"/>
        </w:rPr>
        <w:t>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3B02C444">
      <w:pPr>
        <w:rPr>
          <w:rFonts w:ascii="仿宋" w:hAnsi="仿宋" w:eastAsia="仿宋" w:cs="仿宋"/>
          <w:color w:val="auto"/>
        </w:rPr>
      </w:pPr>
      <w:r>
        <w:rPr>
          <w:rFonts w:hint="eastAsia" w:ascii="仿宋" w:hAnsi="仿宋" w:eastAsia="仿宋" w:cs="仿宋"/>
          <w:color w:val="auto"/>
        </w:rPr>
        <w:br w:type="page"/>
      </w:r>
    </w:p>
    <w:p w14:paraId="51E16CF6">
      <w:pPr>
        <w:pStyle w:val="9"/>
        <w:numPr>
          <w:ilvl w:val="2"/>
          <w:numId w:val="0"/>
        </w:numPr>
        <w:spacing w:line="416" w:lineRule="auto"/>
        <w:rPr>
          <w:rFonts w:ascii="仿宋" w:hAnsi="仿宋" w:eastAsia="仿宋" w:cs="仿宋"/>
          <w:color w:val="auto"/>
          <w:sz w:val="28"/>
          <w:szCs w:val="28"/>
        </w:rPr>
      </w:pPr>
      <w:bookmarkStart w:id="363" w:name="_Toc30149"/>
      <w:bookmarkEnd w:id="363"/>
      <w:bookmarkStart w:id="364" w:name="_Toc816"/>
      <w:bookmarkEnd w:id="364"/>
      <w:r>
        <w:rPr>
          <w:rFonts w:hint="eastAsia" w:ascii="仿宋" w:hAnsi="仿宋" w:eastAsia="仿宋" w:cs="仿宋"/>
          <w:color w:val="auto"/>
          <w:sz w:val="28"/>
          <w:szCs w:val="28"/>
        </w:rPr>
        <w:t>三、项目服务方案</w:t>
      </w:r>
    </w:p>
    <w:p w14:paraId="7095A615">
      <w:pPr>
        <w:spacing w:line="360" w:lineRule="auto"/>
        <w:jc w:val="center"/>
        <w:rPr>
          <w:rFonts w:ascii="宋体" w:hAnsi="宋体"/>
          <w:color w:val="auto"/>
          <w:szCs w:val="21"/>
        </w:rPr>
      </w:pPr>
      <w:r>
        <w:rPr>
          <w:rFonts w:hint="eastAsia" w:ascii="宋体" w:hAnsi="宋体"/>
          <w:color w:val="auto"/>
          <w:szCs w:val="21"/>
        </w:rPr>
        <w:t>（</w:t>
      </w:r>
      <w:r>
        <w:rPr>
          <w:rFonts w:hint="eastAsia" w:ascii="宋体" w:hAnsi="宋体"/>
          <w:b/>
          <w:bCs/>
          <w:color w:val="auto"/>
          <w:szCs w:val="21"/>
        </w:rPr>
        <w:t>内容</w:t>
      </w:r>
      <w:r>
        <w:rPr>
          <w:rFonts w:hint="eastAsia" w:ascii="宋体" w:hAnsi="宋体"/>
          <w:b/>
          <w:color w:val="auto"/>
          <w:szCs w:val="21"/>
        </w:rPr>
        <w:t>由投标人自行编制</w:t>
      </w:r>
      <w:r>
        <w:rPr>
          <w:rFonts w:hint="eastAsia" w:ascii="宋体" w:hAnsi="宋体"/>
          <w:color w:val="auto"/>
          <w:szCs w:val="21"/>
        </w:rPr>
        <w:t>）</w:t>
      </w:r>
    </w:p>
    <w:p w14:paraId="47B5D554">
      <w:pPr>
        <w:spacing w:line="360" w:lineRule="auto"/>
        <w:ind w:firstLine="420" w:firstLineChars="200"/>
        <w:rPr>
          <w:rFonts w:ascii="宋体" w:hAnsi="宋体"/>
          <w:color w:val="auto"/>
          <w:szCs w:val="21"/>
        </w:rPr>
      </w:pPr>
    </w:p>
    <w:p w14:paraId="2F72E8FA">
      <w:pPr>
        <w:spacing w:line="360" w:lineRule="auto"/>
        <w:ind w:firstLine="420" w:firstLineChars="200"/>
        <w:rPr>
          <w:rFonts w:ascii="宋体" w:hAnsi="宋体"/>
          <w:color w:val="auto"/>
          <w:szCs w:val="21"/>
        </w:rPr>
      </w:pPr>
      <w:r>
        <w:rPr>
          <w:rFonts w:hint="eastAsia" w:ascii="宋体" w:hAnsi="宋体"/>
          <w:color w:val="auto"/>
          <w:szCs w:val="21"/>
        </w:rPr>
        <w:t>包含但不限于：</w:t>
      </w:r>
    </w:p>
    <w:p w14:paraId="4794B88C">
      <w:pPr>
        <w:spacing w:line="360" w:lineRule="auto"/>
        <w:ind w:firstLine="480"/>
        <w:jc w:val="left"/>
        <w:rPr>
          <w:rFonts w:hint="eastAsia" w:ascii="宋体" w:hAnsi="宋体" w:eastAsia="宋体"/>
          <w:color w:val="auto"/>
          <w:szCs w:val="21"/>
          <w:lang w:eastAsia="zh-CN"/>
        </w:rPr>
      </w:pPr>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r>
        <w:rPr>
          <w:rFonts w:hint="eastAsia" w:ascii="宋体" w:hAnsi="宋体"/>
          <w:color w:val="auto"/>
          <w:szCs w:val="21"/>
          <w:lang w:eastAsia="zh-CN"/>
        </w:rPr>
        <w:t>（</w:t>
      </w:r>
      <w:r>
        <w:rPr>
          <w:rFonts w:hint="eastAsia" w:ascii="宋体" w:hAnsi="宋体"/>
          <w:color w:val="auto"/>
          <w:szCs w:val="21"/>
          <w:lang w:val="en-US" w:eastAsia="zh-CN"/>
        </w:rPr>
        <w:t>安装方案</w:t>
      </w:r>
      <w:r>
        <w:rPr>
          <w:rFonts w:hint="eastAsia" w:ascii="宋体" w:hAnsi="宋体"/>
          <w:color w:val="auto"/>
          <w:szCs w:val="21"/>
          <w:lang w:eastAsia="zh-CN"/>
        </w:rPr>
        <w:t>）</w:t>
      </w:r>
    </w:p>
    <w:p w14:paraId="565BE3F3">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2B697C34">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lang w:val="en-US" w:eastAsia="zh-CN"/>
        </w:rPr>
        <w:t>3</w:t>
      </w:r>
      <w:r>
        <w:rPr>
          <w:rFonts w:hint="eastAsia" w:ascii="宋体" w:hAnsi="宋体"/>
          <w:color w:val="auto"/>
          <w:szCs w:val="21"/>
        </w:rPr>
        <w:t>.</w:t>
      </w:r>
      <w:r>
        <w:rPr>
          <w:rFonts w:hint="eastAsia" w:ascii="宋体" w:hAnsi="宋体"/>
          <w:color w:val="auto"/>
          <w:szCs w:val="21"/>
          <w:lang w:val="en-US" w:eastAsia="zh-CN"/>
        </w:rPr>
        <w:t>类似业绩</w:t>
      </w:r>
    </w:p>
    <w:p w14:paraId="69A2CF31">
      <w:pPr>
        <w:spacing w:line="360" w:lineRule="auto"/>
        <w:ind w:firstLine="480"/>
        <w:jc w:val="left"/>
        <w:rPr>
          <w:rFonts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.服务质量承诺及保证措施</w:t>
      </w:r>
    </w:p>
    <w:p w14:paraId="62B64524">
      <w:pPr>
        <w:spacing w:line="360" w:lineRule="auto"/>
        <w:ind w:firstLine="480"/>
        <w:jc w:val="left"/>
        <w:rPr>
          <w:rFonts w:hint="eastAsia" w:ascii="宋体" w:hAnsi="宋体"/>
          <w:color w:val="auto"/>
          <w:szCs w:val="21"/>
        </w:rPr>
      </w:pPr>
      <w:r>
        <w:rPr>
          <w:rFonts w:hint="eastAsia" w:ascii="宋体" w:hAnsi="宋体"/>
          <w:color w:val="auto"/>
          <w:szCs w:val="21"/>
          <w:lang w:val="en-US" w:eastAsia="zh-CN"/>
        </w:rPr>
        <w:t>5</w:t>
      </w:r>
      <w:r>
        <w:rPr>
          <w:rFonts w:hint="eastAsia" w:ascii="宋体" w:hAnsi="宋体"/>
          <w:color w:val="auto"/>
          <w:szCs w:val="21"/>
        </w:rPr>
        <w:t>.违约处罚措施及承诺</w:t>
      </w:r>
    </w:p>
    <w:p w14:paraId="3629CA5D">
      <w:pPr>
        <w:pStyle w:val="5"/>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eastAsia="宋体"/>
          <w:lang w:eastAsia="zh-CN"/>
        </w:rPr>
      </w:pPr>
      <w:r>
        <w:rPr>
          <w:rFonts w:hint="eastAsia"/>
          <w:lang w:val="en-US" w:eastAsia="zh-CN"/>
        </w:rPr>
        <w:t>6.维保</w:t>
      </w:r>
      <w:r>
        <w:rPr>
          <w:rFonts w:hint="eastAsia"/>
        </w:rPr>
        <w:t>服务费用清单</w:t>
      </w:r>
      <w:r>
        <w:rPr>
          <w:rFonts w:hint="eastAsia"/>
          <w:lang w:eastAsia="zh-CN"/>
        </w:rPr>
        <w:t>（</w:t>
      </w:r>
      <w:r>
        <w:rPr>
          <w:rFonts w:hint="eastAsia"/>
          <w:lang w:val="en-US" w:eastAsia="zh-CN"/>
        </w:rPr>
        <w:t>人工费用、配件或设备费用等</w:t>
      </w:r>
      <w:r>
        <w:rPr>
          <w:rFonts w:hint="eastAsia"/>
          <w:lang w:eastAsia="zh-CN"/>
        </w:rPr>
        <w:t>）</w:t>
      </w:r>
    </w:p>
    <w:p w14:paraId="2455793A">
      <w:pPr>
        <w:spacing w:line="360" w:lineRule="auto"/>
        <w:ind w:firstLine="480" w:firstLineChars="200"/>
        <w:jc w:val="left"/>
        <w:rPr>
          <w:rFonts w:ascii="宋体" w:hAnsi="宋体"/>
          <w:color w:val="auto"/>
          <w:sz w:val="24"/>
        </w:rPr>
      </w:pPr>
      <w:r>
        <w:rPr>
          <w:rFonts w:hint="eastAsia" w:ascii="宋体" w:hAnsi="宋体"/>
          <w:color w:val="auto"/>
          <w:sz w:val="24"/>
        </w:rPr>
        <w:t>………………</w:t>
      </w:r>
    </w:p>
    <w:p w14:paraId="4F22F20A">
      <w:pPr>
        <w:widowControl/>
        <w:jc w:val="left"/>
        <w:rPr>
          <w:rFonts w:ascii="宋体" w:hAnsi="宋体"/>
          <w:color w:val="auto"/>
          <w:sz w:val="24"/>
        </w:rPr>
      </w:pPr>
      <w:r>
        <w:rPr>
          <w:rFonts w:ascii="宋体" w:hAnsi="宋体"/>
          <w:color w:val="auto"/>
          <w:sz w:val="24"/>
        </w:rPr>
        <w:br w:type="page"/>
      </w:r>
    </w:p>
    <w:p w14:paraId="1EF4FB52">
      <w:pPr>
        <w:pStyle w:val="7"/>
        <w:numPr>
          <w:ilvl w:val="0"/>
          <w:numId w:val="0"/>
        </w:numPr>
        <w:ind w:left="-284" w:hanging="284"/>
        <w:jc w:val="center"/>
        <w:rPr>
          <w:rFonts w:ascii="仿宋" w:hAnsi="仿宋" w:eastAsia="仿宋" w:cs="仿宋"/>
          <w:color w:val="auto"/>
          <w:sz w:val="52"/>
          <w:szCs w:val="32"/>
        </w:rPr>
      </w:pPr>
      <w:bookmarkStart w:id="365" w:name="_Toc32162"/>
      <w:bookmarkEnd w:id="365"/>
      <w:bookmarkStart w:id="366" w:name="_Toc1800"/>
      <w:bookmarkEnd w:id="366"/>
      <w:bookmarkStart w:id="367" w:name="_Toc1640"/>
      <w:bookmarkEnd w:id="367"/>
      <w:bookmarkStart w:id="368" w:name="_Toc8384"/>
      <w:bookmarkEnd w:id="368"/>
      <w:bookmarkStart w:id="369" w:name="_Toc12253"/>
      <w:bookmarkEnd w:id="369"/>
      <w:bookmarkStart w:id="370" w:name="_Toc15158"/>
      <w:bookmarkEnd w:id="370"/>
      <w:r>
        <w:rPr>
          <w:rFonts w:hint="eastAsia" w:ascii="仿宋" w:hAnsi="仿宋" w:eastAsia="仿宋" w:cs="仿宋"/>
          <w:color w:val="auto"/>
          <w:sz w:val="52"/>
          <w:szCs w:val="32"/>
        </w:rPr>
        <w:t>第四章 项目需求</w:t>
      </w:r>
    </w:p>
    <w:p w14:paraId="174C7511">
      <w:pPr>
        <w:spacing w:line="360" w:lineRule="auto"/>
        <w:outlineLvl w:val="1"/>
        <w:rPr>
          <w:rFonts w:ascii="仿宋" w:hAnsi="仿宋" w:eastAsia="仿宋" w:cs="仿宋"/>
          <w:b/>
          <w:color w:val="auto"/>
          <w:szCs w:val="21"/>
        </w:rPr>
      </w:pPr>
      <w:bookmarkStart w:id="371" w:name="_Toc4137"/>
      <w:bookmarkEnd w:id="371"/>
      <w:r>
        <w:rPr>
          <w:rFonts w:hint="eastAsia" w:ascii="仿宋" w:hAnsi="仿宋" w:eastAsia="仿宋" w:cs="仿宋"/>
          <w:b/>
          <w:color w:val="auto"/>
          <w:szCs w:val="21"/>
        </w:rPr>
        <w:t>一、采购标的需实现的功能或者目标；</w:t>
      </w:r>
    </w:p>
    <w:p w14:paraId="64A999FE">
      <w:pPr>
        <w:spacing w:line="360" w:lineRule="auto"/>
        <w:ind w:firstLine="420"/>
        <w:jc w:val="left"/>
        <w:rPr>
          <w:rFonts w:ascii="仿宋" w:hAnsi="仿宋" w:eastAsia="仿宋" w:cs="仿宋"/>
          <w:color w:val="auto"/>
          <w:szCs w:val="21"/>
        </w:rPr>
      </w:pPr>
      <w:r>
        <w:rPr>
          <w:rFonts w:hint="eastAsia" w:ascii="仿宋" w:hAnsi="仿宋" w:eastAsia="仿宋" w:cs="仿宋"/>
          <w:color w:val="auto"/>
          <w:szCs w:val="21"/>
        </w:rPr>
        <w:t>满足云南师范大学附属世纪金源学校</w:t>
      </w:r>
      <w:r>
        <w:rPr>
          <w:rFonts w:hint="eastAsia" w:ascii="仿宋" w:hAnsi="仿宋" w:eastAsia="仿宋" w:cs="仿宋"/>
          <w:color w:val="auto"/>
          <w:szCs w:val="21"/>
          <w:lang w:val="en-US" w:eastAsia="zh-CN"/>
        </w:rPr>
        <w:t>标准化考试视频监考摄像头增补安装项目</w:t>
      </w:r>
      <w:r>
        <w:rPr>
          <w:rFonts w:hint="eastAsia" w:ascii="仿宋" w:hAnsi="仿宋" w:eastAsia="仿宋" w:cs="仿宋"/>
          <w:color w:val="auto"/>
          <w:szCs w:val="21"/>
        </w:rPr>
        <w:t>需求。</w:t>
      </w:r>
    </w:p>
    <w:p w14:paraId="2699A0FD">
      <w:pPr>
        <w:spacing w:line="360" w:lineRule="auto"/>
        <w:outlineLvl w:val="1"/>
        <w:rPr>
          <w:rFonts w:ascii="仿宋" w:hAnsi="仿宋" w:eastAsia="仿宋" w:cs="仿宋"/>
          <w:b/>
          <w:color w:val="auto"/>
          <w:spacing w:val="-6"/>
          <w:szCs w:val="21"/>
        </w:rPr>
      </w:pPr>
      <w:bookmarkStart w:id="372" w:name="_Toc4664"/>
      <w:bookmarkEnd w:id="372"/>
      <w:r>
        <w:rPr>
          <w:rFonts w:hint="eastAsia" w:ascii="仿宋" w:hAnsi="仿宋" w:eastAsia="仿宋" w:cs="仿宋"/>
          <w:b/>
          <w:color w:val="auto"/>
          <w:spacing w:val="-6"/>
          <w:szCs w:val="21"/>
        </w:rPr>
        <w:t>二、采购标的需执行的国家相关标准、行业标准、地方标准或者其他标准、规范；</w:t>
      </w:r>
    </w:p>
    <w:p w14:paraId="0809AF2E">
      <w:pPr>
        <w:spacing w:line="360" w:lineRule="auto"/>
        <w:ind w:firstLine="420"/>
        <w:jc w:val="left"/>
        <w:rPr>
          <w:rFonts w:hint="default" w:ascii="仿宋" w:hAnsi="仿宋" w:eastAsia="仿宋" w:cs="仿宋"/>
          <w:color w:val="auto"/>
          <w:szCs w:val="21"/>
          <w:lang w:val="en-US" w:eastAsia="zh-CN"/>
        </w:rPr>
      </w:pPr>
      <w:r>
        <w:rPr>
          <w:rFonts w:hint="eastAsia" w:ascii="仿宋" w:hAnsi="仿宋" w:eastAsia="仿宋" w:cs="仿宋"/>
          <w:color w:val="auto"/>
          <w:szCs w:val="21"/>
        </w:rPr>
        <w:t>满足国家及其他相关标准和规范要求。</w:t>
      </w:r>
      <w:r>
        <w:rPr>
          <w:rFonts w:hint="eastAsia" w:ascii="仿宋" w:hAnsi="仿宋" w:eastAsia="仿宋" w:cs="仿宋"/>
          <w:color w:val="auto"/>
          <w:szCs w:val="21"/>
          <w:lang w:val="en-US" w:eastAsia="zh-CN"/>
        </w:rPr>
        <w:t>及时响应采购方需求。</w:t>
      </w:r>
    </w:p>
    <w:p w14:paraId="249CC79A">
      <w:pPr>
        <w:numPr>
          <w:ilvl w:val="0"/>
          <w:numId w:val="23"/>
        </w:numPr>
        <w:spacing w:line="360" w:lineRule="auto"/>
        <w:outlineLvl w:val="1"/>
        <w:rPr>
          <w:rFonts w:ascii="仿宋" w:hAnsi="仿宋" w:eastAsia="仿宋" w:cs="仿宋"/>
          <w:b/>
          <w:color w:val="auto"/>
          <w:szCs w:val="21"/>
        </w:rPr>
      </w:pPr>
      <w:bookmarkStart w:id="373" w:name="_Toc3905"/>
      <w:bookmarkEnd w:id="373"/>
      <w:r>
        <w:rPr>
          <w:rFonts w:hint="eastAsia" w:ascii="仿宋" w:hAnsi="仿宋" w:eastAsia="仿宋" w:cs="仿宋"/>
          <w:b/>
          <w:color w:val="auto"/>
          <w:szCs w:val="21"/>
        </w:rPr>
        <w:t>采购标的需满足的质量、安全、技术规格、物理特性等要求；</w:t>
      </w:r>
    </w:p>
    <w:p w14:paraId="7C1D032D">
      <w:pPr>
        <w:widowControl/>
        <w:spacing w:line="360" w:lineRule="auto"/>
        <w:ind w:firstLine="482"/>
        <w:jc w:val="left"/>
        <w:rPr>
          <w:rFonts w:hint="eastAsia" w:ascii="仿宋" w:hAnsi="仿宋" w:eastAsia="仿宋" w:cs="仿宋"/>
          <w:color w:val="auto"/>
          <w:sz w:val="24"/>
          <w:lang w:val="en-US" w:eastAsia="zh-CN"/>
        </w:rPr>
      </w:pPr>
      <w:r>
        <w:rPr>
          <w:rFonts w:hint="eastAsia" w:ascii="仿宋" w:hAnsi="仿宋" w:eastAsia="仿宋" w:cs="仿宋"/>
          <w:b/>
          <w:color w:val="auto"/>
          <w:szCs w:val="21"/>
          <w:lang w:eastAsia="zh-CN"/>
        </w:rPr>
        <w:t>（</w:t>
      </w:r>
      <w:r>
        <w:rPr>
          <w:rFonts w:hint="eastAsia" w:ascii="仿宋" w:hAnsi="仿宋" w:eastAsia="仿宋" w:cs="仿宋"/>
          <w:b/>
          <w:color w:val="auto"/>
          <w:szCs w:val="21"/>
          <w:lang w:val="en-US" w:eastAsia="zh-CN"/>
        </w:rPr>
        <w:t>一</w:t>
      </w:r>
      <w:r>
        <w:rPr>
          <w:rFonts w:hint="eastAsia" w:ascii="仿宋" w:hAnsi="仿宋" w:eastAsia="仿宋" w:cs="仿宋"/>
          <w:b/>
          <w:color w:val="auto"/>
          <w:szCs w:val="21"/>
          <w:lang w:eastAsia="zh-CN"/>
        </w:rPr>
        <w:t>）</w:t>
      </w:r>
      <w:r>
        <w:rPr>
          <w:rFonts w:hint="eastAsia" w:ascii="仿宋" w:hAnsi="仿宋" w:eastAsia="仿宋" w:cs="仿宋"/>
          <w:color w:val="auto"/>
          <w:kern w:val="0"/>
          <w:sz w:val="22"/>
          <w:szCs w:val="22"/>
        </w:rPr>
        <w:t>标的数量：</w:t>
      </w:r>
      <w:r>
        <w:rPr>
          <w:rFonts w:hint="eastAsia" w:ascii="仿宋" w:hAnsi="仿宋" w:eastAsia="仿宋" w:cs="仿宋"/>
          <w:color w:val="auto"/>
          <w:sz w:val="24"/>
        </w:rPr>
        <w:t>1</w:t>
      </w:r>
      <w:r>
        <w:rPr>
          <w:rFonts w:hint="eastAsia" w:ascii="仿宋" w:hAnsi="仿宋" w:eastAsia="仿宋" w:cs="仿宋"/>
          <w:color w:val="auto"/>
          <w:sz w:val="24"/>
          <w:lang w:val="en-US" w:eastAsia="zh-CN"/>
        </w:rPr>
        <w:t>项</w:t>
      </w:r>
    </w:p>
    <w:p w14:paraId="6FB8C01A">
      <w:pPr>
        <w:pStyle w:val="5"/>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陆</w:t>
      </w:r>
      <w:r>
        <w:rPr>
          <w:rFonts w:hint="eastAsia" w:ascii="仿宋" w:hAnsi="仿宋" w:eastAsia="仿宋" w:cs="仿宋"/>
          <w:color w:val="auto"/>
          <w:sz w:val="21"/>
          <w:szCs w:val="21"/>
        </w:rPr>
        <w:t>万</w:t>
      </w:r>
      <w:r>
        <w:rPr>
          <w:rFonts w:hint="eastAsia" w:ascii="仿宋" w:hAnsi="仿宋" w:eastAsia="仿宋" w:cs="仿宋"/>
          <w:color w:val="auto"/>
          <w:sz w:val="21"/>
          <w:szCs w:val="21"/>
          <w:lang w:val="en-US" w:eastAsia="zh-CN"/>
        </w:rPr>
        <w:t>捌仟肆佰捌拾捌元</w:t>
      </w:r>
      <w:r>
        <w:rPr>
          <w:rFonts w:hint="eastAsia" w:ascii="仿宋" w:hAnsi="仿宋" w:eastAsia="仿宋" w:cs="仿宋"/>
          <w:color w:val="auto"/>
          <w:sz w:val="21"/>
          <w:szCs w:val="21"/>
        </w:rPr>
        <w:t>整（</w:t>
      </w:r>
      <w:r>
        <w:rPr>
          <w:rFonts w:hint="eastAsia" w:ascii="仿宋" w:hAnsi="仿宋" w:eastAsia="仿宋" w:cs="仿宋"/>
          <w:color w:val="auto"/>
          <w:sz w:val="21"/>
          <w:szCs w:val="21"/>
          <w:lang w:val="en-US" w:eastAsia="zh-CN"/>
        </w:rPr>
        <w:t>68488.00元</w:t>
      </w:r>
      <w:r>
        <w:rPr>
          <w:rFonts w:hint="eastAsia" w:ascii="仿宋" w:hAnsi="仿宋" w:eastAsia="仿宋" w:cs="仿宋"/>
          <w:color w:val="auto"/>
          <w:sz w:val="21"/>
          <w:szCs w:val="21"/>
        </w:rPr>
        <w:t>）</w:t>
      </w:r>
    </w:p>
    <w:p w14:paraId="0A3C8A51">
      <w:pPr>
        <w:pStyle w:val="5"/>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eastAsia="仿宋"/>
          <w:lang w:val="en-US" w:eastAsia="zh-CN"/>
        </w:rPr>
      </w:pPr>
      <w:r>
        <w:rPr>
          <w:rFonts w:hint="eastAsia" w:eastAsia="仿宋"/>
          <w:lang w:eastAsia="zh-CN"/>
        </w:rPr>
        <w:t>（</w:t>
      </w:r>
      <w:r>
        <w:rPr>
          <w:rFonts w:hint="eastAsia" w:eastAsia="仿宋"/>
          <w:lang w:val="en-US" w:eastAsia="zh-CN"/>
        </w:rPr>
        <w:t>二</w:t>
      </w:r>
      <w:r>
        <w:rPr>
          <w:rFonts w:hint="eastAsia" w:eastAsia="仿宋"/>
          <w:lang w:eastAsia="zh-CN"/>
        </w:rPr>
        <w:t>）</w:t>
      </w:r>
      <w:r>
        <w:rPr>
          <w:rFonts w:hint="eastAsia" w:eastAsia="仿宋"/>
          <w:lang w:val="en-US" w:eastAsia="zh-CN"/>
        </w:rPr>
        <w:t>标的内容</w:t>
      </w:r>
    </w:p>
    <w:p w14:paraId="30559EBF">
      <w:pPr>
        <w:widowControl/>
        <w:spacing w:line="360" w:lineRule="auto"/>
        <w:ind w:firstLine="482"/>
        <w:jc w:val="left"/>
        <w:rPr>
          <w:rFonts w:hint="default" w:ascii="仿宋" w:hAnsi="仿宋" w:eastAsia="仿宋" w:cs="仿宋"/>
          <w:color w:val="auto"/>
          <w:kern w:val="0"/>
          <w:sz w:val="22"/>
          <w:szCs w:val="22"/>
          <w:lang w:val="en-US" w:eastAsia="zh-CN"/>
        </w:rPr>
      </w:pPr>
      <w:bookmarkStart w:id="374" w:name="_Toc15540"/>
      <w:bookmarkEnd w:id="374"/>
      <w:r>
        <w:rPr>
          <w:rFonts w:hint="eastAsia" w:ascii="仿宋" w:hAnsi="仿宋" w:eastAsia="仿宋" w:cs="仿宋"/>
          <w:color w:val="auto"/>
          <w:kern w:val="0"/>
          <w:sz w:val="22"/>
          <w:szCs w:val="22"/>
          <w:lang w:val="en-US" w:eastAsia="zh-CN"/>
        </w:rPr>
        <w:t>1.项目基本情况</w:t>
      </w:r>
    </w:p>
    <w:p w14:paraId="40F6110A">
      <w:pPr>
        <w:pStyle w:val="5"/>
        <w:keepNext w:val="0"/>
        <w:keepLines w:val="0"/>
        <w:pageBreakBefore w:val="0"/>
        <w:widowControl w:val="0"/>
        <w:kinsoku/>
        <w:wordWrap/>
        <w:overflowPunct/>
        <w:topLinePunct w:val="0"/>
        <w:autoSpaceDE/>
        <w:autoSpaceDN/>
        <w:bidi w:val="0"/>
        <w:adjustRightInd/>
        <w:snapToGrid/>
        <w:ind w:firstLine="440" w:firstLineChars="200"/>
        <w:textAlignment w:val="auto"/>
        <w:rPr>
          <w:rFonts w:hint="eastAsia" w:ascii="仿宋" w:hAnsi="仿宋" w:eastAsia="仿宋" w:cs="仿宋"/>
          <w:color w:val="auto"/>
          <w:kern w:val="0"/>
          <w:sz w:val="22"/>
          <w:szCs w:val="22"/>
          <w:lang w:val="en-US" w:eastAsia="zh-CN"/>
        </w:rPr>
      </w:pPr>
      <w:r>
        <w:rPr>
          <w:rFonts w:hint="eastAsia" w:ascii="仿宋" w:hAnsi="仿宋" w:eastAsia="仿宋" w:cs="仿宋"/>
          <w:color w:val="auto"/>
          <w:kern w:val="0"/>
          <w:sz w:val="22"/>
          <w:szCs w:val="22"/>
        </w:rPr>
        <w:t>为保障学校</w:t>
      </w:r>
      <w:r>
        <w:rPr>
          <w:rFonts w:hint="eastAsia" w:ascii="仿宋" w:hAnsi="仿宋" w:eastAsia="仿宋" w:cs="仿宋"/>
          <w:color w:val="auto"/>
          <w:kern w:val="0"/>
          <w:sz w:val="22"/>
          <w:szCs w:val="22"/>
          <w:lang w:val="en-US" w:eastAsia="zh-CN"/>
        </w:rPr>
        <w:t>广播室接入标准化考试</w:t>
      </w:r>
      <w:r>
        <w:rPr>
          <w:rFonts w:hint="eastAsia" w:ascii="仿宋" w:hAnsi="仿宋" w:eastAsia="仿宋" w:cs="仿宋"/>
          <w:color w:val="auto"/>
          <w:kern w:val="0"/>
          <w:sz w:val="22"/>
          <w:szCs w:val="22"/>
        </w:rPr>
        <w:t>视频</w:t>
      </w:r>
      <w:r>
        <w:rPr>
          <w:rFonts w:hint="eastAsia" w:ascii="仿宋" w:hAnsi="仿宋" w:eastAsia="仿宋" w:cs="仿宋"/>
          <w:color w:val="auto"/>
          <w:kern w:val="0"/>
          <w:sz w:val="22"/>
          <w:szCs w:val="22"/>
          <w:lang w:val="en-US" w:eastAsia="zh-CN"/>
        </w:rPr>
        <w:t>监考</w:t>
      </w:r>
      <w:r>
        <w:rPr>
          <w:rFonts w:hint="eastAsia" w:ascii="仿宋" w:hAnsi="仿宋" w:eastAsia="仿宋" w:cs="仿宋"/>
          <w:color w:val="auto"/>
          <w:kern w:val="0"/>
          <w:sz w:val="22"/>
          <w:szCs w:val="22"/>
        </w:rPr>
        <w:t>系统</w:t>
      </w:r>
      <w:r>
        <w:rPr>
          <w:rFonts w:hint="eastAsia" w:ascii="仿宋" w:hAnsi="仿宋" w:eastAsia="仿宋" w:cs="仿宋"/>
          <w:color w:val="auto"/>
          <w:kern w:val="0"/>
          <w:sz w:val="22"/>
          <w:szCs w:val="22"/>
          <w:lang w:val="en-US" w:eastAsia="zh-CN"/>
        </w:rPr>
        <w:t>并</w:t>
      </w:r>
      <w:r>
        <w:rPr>
          <w:rFonts w:hint="eastAsia" w:ascii="仿宋" w:hAnsi="仿宋" w:eastAsia="仿宋" w:cs="仿宋"/>
          <w:color w:val="auto"/>
          <w:kern w:val="0"/>
          <w:sz w:val="22"/>
          <w:szCs w:val="22"/>
        </w:rPr>
        <w:t>稳定运行，</w:t>
      </w:r>
      <w:r>
        <w:rPr>
          <w:rFonts w:hint="eastAsia" w:ascii="仿宋" w:hAnsi="仿宋" w:eastAsia="仿宋" w:cs="仿宋"/>
          <w:color w:val="auto"/>
          <w:kern w:val="0"/>
          <w:sz w:val="22"/>
          <w:szCs w:val="22"/>
          <w:lang w:val="en-US" w:eastAsia="zh-CN"/>
        </w:rPr>
        <w:t>对标考视频监考摄像机进行增补安装，增补摄像机2个，并安装到指定区域，接入学校标考视频监考系统，增补设备质保期</w:t>
      </w:r>
      <w:r>
        <w:rPr>
          <w:rFonts w:hint="default" w:ascii="Arial" w:hAnsi="Arial" w:eastAsia="仿宋" w:cs="Arial"/>
          <w:color w:val="auto"/>
          <w:kern w:val="0"/>
          <w:sz w:val="22"/>
          <w:szCs w:val="22"/>
          <w:lang w:val="en-US" w:eastAsia="zh-CN"/>
        </w:rPr>
        <w:t>≥</w:t>
      </w:r>
      <w:r>
        <w:rPr>
          <w:rFonts w:hint="eastAsia" w:ascii="Arial" w:hAnsi="Arial" w:eastAsia="仿宋" w:cs="Arial"/>
          <w:color w:val="auto"/>
          <w:kern w:val="0"/>
          <w:sz w:val="22"/>
          <w:szCs w:val="22"/>
          <w:lang w:val="en-US" w:eastAsia="zh-CN"/>
        </w:rPr>
        <w:t>3年</w:t>
      </w:r>
      <w:r>
        <w:rPr>
          <w:rFonts w:hint="eastAsia" w:ascii="仿宋" w:hAnsi="仿宋" w:eastAsia="仿宋" w:cs="仿宋"/>
          <w:color w:val="auto"/>
          <w:kern w:val="0"/>
          <w:sz w:val="22"/>
          <w:szCs w:val="22"/>
          <w:lang w:val="en-US" w:eastAsia="zh-CN"/>
        </w:rPr>
        <w:t>。费用为固定包干总价，包含增补设备、安装材料、安装调试费用、人工费、税费的呢过所有费用。</w:t>
      </w:r>
    </w:p>
    <w:p w14:paraId="029AE9B7">
      <w:pPr>
        <w:pStyle w:val="18"/>
        <w:ind w:left="0" w:leftChars="0" w:firstLine="0" w:firstLineChars="0"/>
        <w:rPr>
          <w:rFonts w:hint="default"/>
          <w:lang w:val="en-US" w:eastAsia="zh-CN"/>
        </w:rPr>
      </w:pPr>
    </w:p>
    <w:tbl>
      <w:tblPr>
        <w:tblStyle w:val="38"/>
        <w:tblpPr w:leftFromText="180" w:rightFromText="180" w:vertAnchor="text" w:horzAnchor="page" w:tblpX="1667" w:tblpY="34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1"/>
        <w:gridCol w:w="2600"/>
        <w:gridCol w:w="4390"/>
        <w:gridCol w:w="1249"/>
      </w:tblGrid>
      <w:tr w14:paraId="050A0149">
        <w:tc>
          <w:tcPr>
            <w:tcW w:w="1121" w:type="dxa"/>
          </w:tcPr>
          <w:p w14:paraId="0F594210">
            <w:pPr>
              <w:pStyle w:val="35"/>
              <w:keepNext w:val="0"/>
              <w:keepLines w:val="0"/>
              <w:widowControl/>
              <w:numPr>
                <w:ilvl w:val="0"/>
                <w:numId w:val="0"/>
              </w:numPr>
              <w:suppressLineNumbers w:val="0"/>
              <w:ind w:right="0" w:rightChars="0"/>
              <w:jc w:val="center"/>
              <w:rPr>
                <w:rFonts w:hint="eastAsia" w:ascii="仿宋" w:hAnsi="仿宋" w:eastAsia="仿宋" w:cs="仿宋"/>
                <w:i w:val="0"/>
                <w:iCs w:val="0"/>
                <w:caps w:val="0"/>
                <w:color w:val="292929"/>
                <w:spacing w:val="0"/>
                <w:sz w:val="21"/>
                <w:szCs w:val="21"/>
                <w:vertAlign w:val="baseline"/>
                <w:lang w:val="en-US" w:eastAsia="zh-CN"/>
              </w:rPr>
            </w:pPr>
            <w:r>
              <w:rPr>
                <w:rFonts w:hint="eastAsia" w:ascii="仿宋" w:hAnsi="仿宋" w:eastAsia="仿宋" w:cs="仿宋"/>
                <w:i w:val="0"/>
                <w:iCs w:val="0"/>
                <w:caps w:val="0"/>
                <w:color w:val="292929"/>
                <w:spacing w:val="0"/>
                <w:sz w:val="21"/>
                <w:szCs w:val="21"/>
                <w:vertAlign w:val="baseline"/>
                <w:lang w:val="en-US" w:eastAsia="zh-CN"/>
              </w:rPr>
              <w:t>序号</w:t>
            </w:r>
          </w:p>
        </w:tc>
        <w:tc>
          <w:tcPr>
            <w:tcW w:w="2600" w:type="dxa"/>
          </w:tcPr>
          <w:p w14:paraId="6113AE1B">
            <w:pPr>
              <w:pStyle w:val="35"/>
              <w:keepNext w:val="0"/>
              <w:keepLines w:val="0"/>
              <w:widowControl/>
              <w:numPr>
                <w:ilvl w:val="0"/>
                <w:numId w:val="0"/>
              </w:numPr>
              <w:suppressLineNumbers w:val="0"/>
              <w:ind w:right="0" w:rightChars="0"/>
              <w:jc w:val="center"/>
              <w:rPr>
                <w:rFonts w:hint="eastAsia" w:ascii="仿宋" w:hAnsi="仿宋" w:eastAsia="仿宋" w:cs="仿宋"/>
                <w:i w:val="0"/>
                <w:iCs w:val="0"/>
                <w:caps w:val="0"/>
                <w:color w:val="292929"/>
                <w:spacing w:val="0"/>
                <w:sz w:val="21"/>
                <w:szCs w:val="21"/>
                <w:vertAlign w:val="baseline"/>
                <w:lang w:val="en-US" w:eastAsia="zh-CN"/>
              </w:rPr>
            </w:pPr>
            <w:r>
              <w:rPr>
                <w:rFonts w:hint="eastAsia" w:ascii="仿宋" w:hAnsi="仿宋" w:eastAsia="仿宋" w:cs="仿宋"/>
                <w:i w:val="0"/>
                <w:iCs w:val="0"/>
                <w:caps w:val="0"/>
                <w:color w:val="292929"/>
                <w:spacing w:val="0"/>
                <w:sz w:val="21"/>
                <w:szCs w:val="21"/>
                <w:vertAlign w:val="baseline"/>
                <w:lang w:val="en-US" w:eastAsia="zh-CN"/>
              </w:rPr>
              <w:t>名称</w:t>
            </w:r>
          </w:p>
        </w:tc>
        <w:tc>
          <w:tcPr>
            <w:tcW w:w="4390" w:type="dxa"/>
          </w:tcPr>
          <w:p w14:paraId="2DA60C8F">
            <w:pPr>
              <w:pStyle w:val="35"/>
              <w:keepNext w:val="0"/>
              <w:keepLines w:val="0"/>
              <w:widowControl/>
              <w:numPr>
                <w:ilvl w:val="0"/>
                <w:numId w:val="0"/>
              </w:numPr>
              <w:suppressLineNumbers w:val="0"/>
              <w:ind w:right="0" w:rightChars="0"/>
              <w:jc w:val="center"/>
              <w:rPr>
                <w:rFonts w:hint="default" w:ascii="仿宋" w:hAnsi="仿宋" w:eastAsia="仿宋" w:cs="仿宋"/>
                <w:i w:val="0"/>
                <w:iCs w:val="0"/>
                <w:caps w:val="0"/>
                <w:color w:val="292929"/>
                <w:spacing w:val="0"/>
                <w:sz w:val="21"/>
                <w:szCs w:val="21"/>
                <w:vertAlign w:val="baseline"/>
                <w:lang w:val="en-US" w:eastAsia="zh-CN"/>
              </w:rPr>
            </w:pPr>
            <w:r>
              <w:rPr>
                <w:rFonts w:hint="eastAsia" w:ascii="仿宋" w:hAnsi="仿宋" w:eastAsia="仿宋" w:cs="仿宋"/>
                <w:i w:val="0"/>
                <w:iCs w:val="0"/>
                <w:caps w:val="0"/>
                <w:color w:val="292929"/>
                <w:spacing w:val="0"/>
                <w:sz w:val="21"/>
                <w:szCs w:val="21"/>
                <w:vertAlign w:val="baseline"/>
                <w:lang w:val="en-US" w:eastAsia="zh-CN"/>
              </w:rPr>
              <w:t>技术要求</w:t>
            </w:r>
          </w:p>
        </w:tc>
        <w:tc>
          <w:tcPr>
            <w:tcW w:w="1249" w:type="dxa"/>
          </w:tcPr>
          <w:p w14:paraId="3A388585">
            <w:pPr>
              <w:pStyle w:val="35"/>
              <w:keepNext w:val="0"/>
              <w:keepLines w:val="0"/>
              <w:widowControl/>
              <w:numPr>
                <w:ilvl w:val="0"/>
                <w:numId w:val="0"/>
              </w:numPr>
              <w:suppressLineNumbers w:val="0"/>
              <w:ind w:right="0" w:rightChars="0"/>
              <w:jc w:val="center"/>
              <w:rPr>
                <w:rFonts w:hint="eastAsia" w:ascii="仿宋" w:hAnsi="仿宋" w:eastAsia="仿宋" w:cs="仿宋"/>
                <w:i w:val="0"/>
                <w:iCs w:val="0"/>
                <w:caps w:val="0"/>
                <w:color w:val="292929"/>
                <w:spacing w:val="0"/>
                <w:sz w:val="21"/>
                <w:szCs w:val="21"/>
                <w:vertAlign w:val="baseline"/>
                <w:lang w:val="en-US" w:eastAsia="zh-CN"/>
              </w:rPr>
            </w:pPr>
            <w:r>
              <w:rPr>
                <w:rFonts w:hint="eastAsia" w:ascii="仿宋" w:hAnsi="仿宋" w:eastAsia="仿宋" w:cs="仿宋"/>
                <w:i w:val="0"/>
                <w:iCs w:val="0"/>
                <w:caps w:val="0"/>
                <w:color w:val="292929"/>
                <w:spacing w:val="0"/>
                <w:sz w:val="21"/>
                <w:szCs w:val="21"/>
                <w:vertAlign w:val="baseline"/>
                <w:lang w:val="en-US" w:eastAsia="zh-CN"/>
              </w:rPr>
              <w:t>数量</w:t>
            </w:r>
          </w:p>
        </w:tc>
      </w:tr>
      <w:tr w14:paraId="52FFFD0C">
        <w:tc>
          <w:tcPr>
            <w:tcW w:w="1121" w:type="dxa"/>
          </w:tcPr>
          <w:p w14:paraId="45CB6050">
            <w:pPr>
              <w:pStyle w:val="35"/>
              <w:keepNext w:val="0"/>
              <w:keepLines w:val="0"/>
              <w:widowControl/>
              <w:numPr>
                <w:ilvl w:val="0"/>
                <w:numId w:val="0"/>
              </w:numPr>
              <w:suppressLineNumbers w:val="0"/>
              <w:ind w:right="0" w:rightChars="0"/>
              <w:jc w:val="center"/>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w:t>
            </w:r>
          </w:p>
        </w:tc>
        <w:tc>
          <w:tcPr>
            <w:tcW w:w="2600" w:type="dxa"/>
          </w:tcPr>
          <w:p w14:paraId="6BF27794">
            <w:pPr>
              <w:pStyle w:val="35"/>
              <w:keepNext w:val="0"/>
              <w:keepLines w:val="0"/>
              <w:widowControl/>
              <w:numPr>
                <w:ilvl w:val="0"/>
                <w:numId w:val="0"/>
              </w:numPr>
              <w:suppressLineNumbers w:val="0"/>
              <w:ind w:right="0" w:rightChars="0"/>
              <w:jc w:val="left"/>
              <w:rPr>
                <w:rFonts w:hint="default" w:ascii="Helvetica" w:hAnsi="Helvetica" w:eastAsia="Helvetica" w:cs="Helvetica"/>
                <w:i w:val="0"/>
                <w:iCs w:val="0"/>
                <w:caps w:val="0"/>
                <w:color w:val="292929"/>
                <w:spacing w:val="0"/>
                <w:sz w:val="19"/>
                <w:szCs w:val="19"/>
                <w:vertAlign w:val="baseline"/>
              </w:rPr>
            </w:pPr>
            <w:r>
              <w:rPr>
                <w:rFonts w:hint="eastAsia" w:ascii="Helvetica" w:hAnsi="Helvetica" w:eastAsia="宋体" w:cs="Helvetica"/>
                <w:i w:val="0"/>
                <w:iCs w:val="0"/>
                <w:caps w:val="0"/>
                <w:color w:val="292929"/>
                <w:spacing w:val="0"/>
                <w:sz w:val="19"/>
                <w:szCs w:val="19"/>
                <w:lang w:val="en-US" w:eastAsia="zh-CN"/>
              </w:rPr>
              <w:t>标考红外高清半球摄像机（含拾音器及配套软件）</w:t>
            </w:r>
          </w:p>
        </w:tc>
        <w:tc>
          <w:tcPr>
            <w:tcW w:w="4390" w:type="dxa"/>
            <w:vAlign w:val="top"/>
          </w:tcPr>
          <w:p w14:paraId="4521ED8D">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▲介于考试系统的特殊性，根据国家教育考试规范要求；所提供产品必须符合《国家教育考试网上巡查系统视频标准技术规范（2017版）》相关技术规范；</w:t>
            </w:r>
          </w:p>
          <w:p w14:paraId="66B816BE">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2</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性能满足但不限于：采用高性能≥400万1/3英寸CMOS图像传感器，低照度效果好，图像清晰度高；</w:t>
            </w:r>
          </w:p>
          <w:p w14:paraId="5C61BA9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3</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性能满足但不限于：可输出≥400万</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2560×1440</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@20fps；</w:t>
            </w:r>
          </w:p>
          <w:p w14:paraId="22B65446">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4</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功能满足但不限于：支持Smart H.265/H.264H智能编码，ROI区域增强，SVC自适应编码，适用不同带宽和存储环境；</w:t>
            </w:r>
          </w:p>
          <w:p w14:paraId="19D9126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5</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性能满足但不限于：最大红外监控距离≥20米，支持SmartIR，自动调整红外远近补光及画面均匀性；</w:t>
            </w:r>
          </w:p>
          <w:p w14:paraId="6C37AAC5">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6</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功能满足但不限于：支持走廊模式，宽动态，3D降噪，强光抑制，背光补偿，数字水印，适用不同监控环境；</w:t>
            </w:r>
          </w:p>
          <w:p w14:paraId="2387852E">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7</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功能满足但不限于：支持多种异常检测，无SD卡，SD卡空间不足，SD卡出错，网络断开，IP冲突，非法访问，电压检测；</w:t>
            </w:r>
          </w:p>
          <w:p w14:paraId="54E0A45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8</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功能满足但不限于：具备多种智能功能，区域入侵，绊线入侵，物品遗留，物品搬移，场景变更，徘徊检测，人员聚集，快速移动，非法停车，音频异常侦测，虚焦侦测，人脸检测；</w:t>
            </w:r>
          </w:p>
          <w:p w14:paraId="3474D8B7">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9</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性能满足但不限于：支持DC12V/POE供电方式，宽压设计；</w:t>
            </w:r>
          </w:p>
          <w:p w14:paraId="0F6AD398">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10</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性能满足但不限于：支持IP66，IK10防护等级，防浪涌，防静电，防雷设计</w:t>
            </w:r>
          </w:p>
          <w:p w14:paraId="44DB7231">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11</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▲性能满足但不限于：具有≥1路RJ45接口、≥1路音频输出接口；</w:t>
            </w:r>
          </w:p>
          <w:p w14:paraId="475CAC09">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12</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▲性能满足但不限于：最低照度：彩色≤0.005lx ，能分辨反射式视频矩阵测试卡中彩色色块；黑白≤0. 00051x，能分辨反射式视频分辨率测试卡中圆形轮廓；</w:t>
            </w:r>
          </w:p>
          <w:p w14:paraId="29E75CA4">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13</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▲功能满足但不限于：具有隐私区域遮挡功能，区域的个数≥3个，大小、方位用户可自己设置；≥2路报警输入接口、≥2路报警输出接口；</w:t>
            </w:r>
          </w:p>
          <w:p w14:paraId="54689926">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14</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功能满足但不限于：在IE浏览器下，具有感兴趣区域</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 xml:space="preserve">ROI </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设置选项，可设置≥3块感兴趣区域、≥5个图像质量等级。</w:t>
            </w:r>
          </w:p>
          <w:p w14:paraId="732BA3B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15</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功能满足但不限于：支持通过IE浏览器或客户端软件开启/关闭，功能开启后，当监控场景被遮挡时，可在客户端给出报警提示并上传中心、上传FTP、发送邮件及联动录像</w:t>
            </w:r>
            <w:r>
              <w:rPr>
                <w:rFonts w:hint="eastAsia" w:ascii="Helvetica" w:hAnsi="Helvetica" w:cs="Helvetica"/>
                <w:i w:val="0"/>
                <w:iCs w:val="0"/>
                <w:caps w:val="0"/>
                <w:color w:val="292929"/>
                <w:spacing w:val="0"/>
                <w:sz w:val="19"/>
                <w:szCs w:val="19"/>
                <w:vertAlign w:val="baseline"/>
                <w:lang w:val="en-US" w:eastAsia="zh-CN"/>
              </w:rPr>
              <w:t>。</w:t>
            </w:r>
          </w:p>
          <w:p w14:paraId="603736F1">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16</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▲功能满足但不限于：支持人脸抓拍功能</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可对经过设定区域的行人进行人脸检查和人脸跟踪，当检查到人脸后，可抓拍人脸图片，抓拍人脸数量可设，≥1路音频输入接口；</w:t>
            </w:r>
          </w:p>
          <w:p w14:paraId="4759DFA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17</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功能满足但不限于：在IE浏览器下具有人脸增强设置选项</w:t>
            </w:r>
            <w:r>
              <w:rPr>
                <w:rFonts w:hint="eastAsia" w:ascii="Helvetica" w:hAnsi="Helvetica" w:cs="Helvetica"/>
                <w:i w:val="0"/>
                <w:iCs w:val="0"/>
                <w:caps w:val="0"/>
                <w:color w:val="292929"/>
                <w:spacing w:val="0"/>
                <w:sz w:val="19"/>
                <w:szCs w:val="19"/>
                <w:vertAlign w:val="baseline"/>
                <w:lang w:val="en-US" w:eastAsia="zh-CN"/>
              </w:rPr>
              <w:t>。</w:t>
            </w:r>
          </w:p>
          <w:p w14:paraId="689537D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18</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▲功能满足但不限于：在视频遮挡、SD卡空间不足、SD卡出错、无SD卡、非法访问、网络断开、IP冲突时，可给出报警</w:t>
            </w:r>
            <w:r>
              <w:rPr>
                <w:rFonts w:hint="eastAsia" w:ascii="Helvetica" w:hAnsi="Helvetica" w:cs="Helvetica"/>
                <w:i w:val="0"/>
                <w:iCs w:val="0"/>
                <w:caps w:val="0"/>
                <w:color w:val="292929"/>
                <w:spacing w:val="0"/>
                <w:sz w:val="19"/>
                <w:szCs w:val="19"/>
                <w:vertAlign w:val="baseline"/>
                <w:lang w:val="en-US" w:eastAsia="zh-CN"/>
              </w:rPr>
              <w:t>提示</w:t>
            </w:r>
            <w:r>
              <w:rPr>
                <w:rFonts w:hint="default" w:ascii="Helvetica" w:hAnsi="Helvetica" w:eastAsia="宋体" w:cs="Helvetica"/>
                <w:i w:val="0"/>
                <w:iCs w:val="0"/>
                <w:caps w:val="0"/>
                <w:color w:val="292929"/>
                <w:spacing w:val="0"/>
                <w:sz w:val="19"/>
                <w:szCs w:val="19"/>
                <w:vertAlign w:val="baseline"/>
                <w:lang w:val="en-US" w:eastAsia="zh-CN"/>
              </w:rPr>
              <w:t>，≥1个SD卡插槽，硬件恢复默认按钮，DC12V输出；</w:t>
            </w:r>
          </w:p>
          <w:p w14:paraId="02DB3C7C">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19</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功能满足但不限于：支持将视频图像存储至SD卡或客户端，支持SD卡热拔插，最大支持128GB SD卡，</w:t>
            </w:r>
          </w:p>
          <w:p w14:paraId="70CB50E1">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20</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功能满足但不限于：在正常工作时断开网络</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可将抓拍图片存储至内置SD卡中，当网络恢复后，再将这些图片，上传至指定的存储服务</w:t>
            </w:r>
          </w:p>
          <w:p w14:paraId="4941262E">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21</w:t>
            </w:r>
            <w:r>
              <w:rPr>
                <w:rFonts w:hint="eastAsia" w:ascii="Helvetica" w:hAnsi="Helvetica" w:cs="Helvetica"/>
                <w:i w:val="0"/>
                <w:iCs w:val="0"/>
                <w:caps w:val="0"/>
                <w:color w:val="292929"/>
                <w:spacing w:val="0"/>
                <w:sz w:val="19"/>
                <w:szCs w:val="19"/>
                <w:vertAlign w:val="baseline"/>
                <w:lang w:val="en-US" w:eastAsia="zh-CN"/>
              </w:rPr>
              <w:t>.</w:t>
            </w:r>
            <w:r>
              <w:rPr>
                <w:rFonts w:hint="default" w:ascii="Helvetica" w:hAnsi="Helvetica" w:eastAsia="宋体" w:cs="Helvetica"/>
                <w:i w:val="0"/>
                <w:iCs w:val="0"/>
                <w:caps w:val="0"/>
                <w:color w:val="292929"/>
                <w:spacing w:val="0"/>
                <w:sz w:val="19"/>
                <w:szCs w:val="19"/>
                <w:vertAlign w:val="baseline"/>
                <w:lang w:val="en-US" w:eastAsia="zh-CN"/>
              </w:rPr>
              <w:t>功能满足但不限于：在同一个客户端上，可最多同时开启20个视频窗口进行画面浏览。</w:t>
            </w:r>
          </w:p>
          <w:p w14:paraId="7C6E56F3">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22.</w:t>
            </w:r>
            <w:r>
              <w:rPr>
                <w:rFonts w:hint="default" w:ascii="Helvetica" w:hAnsi="Helvetica" w:eastAsia="宋体" w:cs="Helvetica"/>
                <w:i w:val="0"/>
                <w:iCs w:val="0"/>
                <w:caps w:val="0"/>
                <w:color w:val="292929"/>
                <w:spacing w:val="0"/>
                <w:sz w:val="19"/>
                <w:szCs w:val="19"/>
                <w:vertAlign w:val="baseline"/>
                <w:lang w:val="en-US" w:eastAsia="zh-CN"/>
              </w:rPr>
              <w:t>▲介于考试系统的特殊性，根据国家教育考试规范要求；所提供产品必须符合《国家教育考试网上巡查系统视频标准技术规范（2017版）》相关技术规范；需与云南省国家教育考试巡查系统平台互联互通。</w:t>
            </w:r>
          </w:p>
          <w:p w14:paraId="29A6C9BD">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Helvetica" w:hAnsi="Helvetica" w:cs="Helvetica"/>
                <w:i w:val="0"/>
                <w:iCs w:val="0"/>
                <w:caps w:val="0"/>
                <w:color w:val="292929"/>
                <w:spacing w:val="0"/>
                <w:sz w:val="19"/>
                <w:szCs w:val="19"/>
                <w:vertAlign w:val="baseline"/>
                <w:lang w:val="en-US" w:eastAsia="zh-CN"/>
              </w:rPr>
            </w:pPr>
            <w:r>
              <w:rPr>
                <w:rFonts w:hint="default" w:ascii="Helvetica" w:hAnsi="Helvetica" w:eastAsia="宋体" w:cs="Helvetica"/>
                <w:i w:val="0"/>
                <w:iCs w:val="0"/>
                <w:caps w:val="0"/>
                <w:color w:val="292929"/>
                <w:spacing w:val="0"/>
                <w:sz w:val="19"/>
                <w:szCs w:val="19"/>
                <w:vertAlign w:val="baseline"/>
                <w:lang w:val="en-US" w:eastAsia="zh-CN"/>
              </w:rPr>
              <w:t>2</w:t>
            </w:r>
            <w:r>
              <w:rPr>
                <w:rFonts w:hint="eastAsia" w:ascii="Helvetica" w:hAnsi="Helvetica" w:cs="Helvetica"/>
                <w:i w:val="0"/>
                <w:iCs w:val="0"/>
                <w:caps w:val="0"/>
                <w:color w:val="292929"/>
                <w:spacing w:val="0"/>
                <w:sz w:val="19"/>
                <w:szCs w:val="19"/>
                <w:vertAlign w:val="baseline"/>
                <w:lang w:val="en-US" w:eastAsia="zh-CN"/>
              </w:rPr>
              <w:t>3.</w:t>
            </w:r>
            <w:r>
              <w:rPr>
                <w:rFonts w:hint="default" w:ascii="Helvetica" w:hAnsi="Helvetica" w:eastAsia="宋体" w:cs="Helvetica"/>
                <w:i w:val="0"/>
                <w:iCs w:val="0"/>
                <w:caps w:val="0"/>
                <w:color w:val="292929"/>
                <w:spacing w:val="0"/>
                <w:sz w:val="19"/>
                <w:szCs w:val="19"/>
                <w:vertAlign w:val="baseline"/>
                <w:lang w:val="en-US" w:eastAsia="zh-CN"/>
              </w:rPr>
              <w:t>▲介于考试系统的特殊性、重要性：为保证系统的稳定性、兼容性以及提供服务的便利性，</w:t>
            </w:r>
            <w:r>
              <w:rPr>
                <w:rFonts w:hint="eastAsia" w:ascii="Helvetica" w:hAnsi="Helvetica" w:cs="Helvetica"/>
                <w:i w:val="0"/>
                <w:iCs w:val="0"/>
                <w:caps w:val="0"/>
                <w:color w:val="292929"/>
                <w:spacing w:val="0"/>
                <w:sz w:val="19"/>
                <w:szCs w:val="19"/>
                <w:vertAlign w:val="baseline"/>
                <w:lang w:val="en-US" w:eastAsia="zh-CN"/>
              </w:rPr>
              <w:t>必须能够接入学校现在使用的佳发的标考系统。</w:t>
            </w:r>
          </w:p>
          <w:p w14:paraId="2336B108">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Helvetica" w:hAnsi="Helvetica"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24.配备拾音器，拾音器能清晰地拾取考场内环境声音；所选拾音器应与摄像机音频输入接口阻抗等电气性能相匹配；具有1个音频输出接口和1个电源输入接口；拾音器符合《GB/T 30148-2013》电磁兼容抗扰度要求；拾音器辐射骚扰限值和传导骚扰限值应符合GB/T 9254-2008中等级B的规定；设备接通额定电源后，输出音量不应存在时大时小、时有时无现象；设备接通额定电源后，输出声音不应发出由电源产生的异常声等非拾音环境中的杂声现象；</w:t>
            </w:r>
          </w:p>
          <w:p w14:paraId="579507AE">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default" w:ascii="Helvetica" w:hAnsi="Helvetica"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25.包含授权等软件；</w:t>
            </w:r>
          </w:p>
        </w:tc>
        <w:tc>
          <w:tcPr>
            <w:tcW w:w="1249" w:type="dxa"/>
          </w:tcPr>
          <w:p w14:paraId="31F97D13">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2套</w:t>
            </w:r>
          </w:p>
        </w:tc>
      </w:tr>
      <w:tr w14:paraId="11D2259A">
        <w:tc>
          <w:tcPr>
            <w:tcW w:w="1121" w:type="dxa"/>
          </w:tcPr>
          <w:p w14:paraId="701621AD">
            <w:pPr>
              <w:pStyle w:val="35"/>
              <w:keepNext w:val="0"/>
              <w:keepLines w:val="0"/>
              <w:widowControl/>
              <w:numPr>
                <w:ilvl w:val="0"/>
                <w:numId w:val="0"/>
              </w:numPr>
              <w:suppressLineNumbers w:val="0"/>
              <w:ind w:right="0" w:rightChars="0"/>
              <w:jc w:val="center"/>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2</w:t>
            </w:r>
          </w:p>
        </w:tc>
        <w:tc>
          <w:tcPr>
            <w:tcW w:w="2600" w:type="dxa"/>
          </w:tcPr>
          <w:p w14:paraId="2490A8C4">
            <w:pPr>
              <w:pStyle w:val="35"/>
              <w:keepNext w:val="0"/>
              <w:keepLines w:val="0"/>
              <w:widowControl/>
              <w:numPr>
                <w:ilvl w:val="0"/>
                <w:numId w:val="0"/>
              </w:numPr>
              <w:suppressLineNumbers w:val="0"/>
              <w:ind w:right="0" w:rightChars="0"/>
              <w:jc w:val="left"/>
              <w:rPr>
                <w:rFonts w:hint="default" w:ascii="Helvetica" w:hAnsi="Helvetica" w:eastAsia="Helvetica" w:cs="Helvetica"/>
                <w:i w:val="0"/>
                <w:iCs w:val="0"/>
                <w:caps w:val="0"/>
                <w:color w:val="292929"/>
                <w:spacing w:val="0"/>
                <w:sz w:val="19"/>
                <w:szCs w:val="19"/>
                <w:vertAlign w:val="baseline"/>
              </w:rPr>
            </w:pPr>
            <w:r>
              <w:rPr>
                <w:rFonts w:hint="eastAsia" w:ascii="Helvetica" w:hAnsi="Helvetica" w:eastAsia="宋体" w:cs="Helvetica"/>
                <w:i w:val="0"/>
                <w:iCs w:val="0"/>
                <w:caps w:val="0"/>
                <w:color w:val="292929"/>
                <w:spacing w:val="0"/>
                <w:sz w:val="19"/>
                <w:szCs w:val="19"/>
                <w:lang w:val="en-US" w:eastAsia="zh-CN"/>
              </w:rPr>
              <w:t>标考网络流媒体存储平台（16路）</w:t>
            </w:r>
          </w:p>
        </w:tc>
        <w:tc>
          <w:tcPr>
            <w:tcW w:w="4390" w:type="dxa"/>
            <w:vAlign w:val="top"/>
          </w:tcPr>
          <w:p w14:paraId="2F022BF6">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eastAsia" w:ascii="Helvetica" w:hAnsi="Helvetica" w:eastAsia="宋体" w:cs="Helvetica"/>
                <w:i w:val="0"/>
                <w:iCs w:val="0"/>
                <w:caps w:val="0"/>
                <w:color w:val="292929"/>
                <w:spacing w:val="0"/>
                <w:sz w:val="19"/>
                <w:szCs w:val="19"/>
                <w:vertAlign w:val="baseline"/>
                <w:lang w:val="en-US" w:eastAsia="zh-CN"/>
              </w:rPr>
              <w:t>1.</w:t>
            </w:r>
            <w:r>
              <w:rPr>
                <w:rFonts w:hint="default" w:ascii="Helvetica" w:hAnsi="Helvetica" w:eastAsia="Helvetica" w:cs="Helvetica"/>
                <w:i w:val="0"/>
                <w:iCs w:val="0"/>
                <w:caps w:val="0"/>
                <w:color w:val="292929"/>
                <w:spacing w:val="0"/>
                <w:sz w:val="19"/>
                <w:szCs w:val="19"/>
                <w:vertAlign w:val="baseline"/>
              </w:rPr>
              <w:t>▲1介于考试系统的特殊性，符合《国家教育考试网上巡查系统视频标准技术规范（2017版）》相关技术规范；</w:t>
            </w:r>
          </w:p>
          <w:p w14:paraId="70B1F38F">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2）性能满足但不限于：支持嵌入式Linux系统，工业级嵌入式微控制器；支持WEB、本地GUI界面操作；</w:t>
            </w:r>
          </w:p>
          <w:p w14:paraId="36910444">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▲3）性能满足但不限于：设备需支持≥1个HDMI接口、≥1个VGA接口、≥1个前置USB2.0接口、≥1个后置USB3.0接口</w:t>
            </w:r>
          </w:p>
          <w:p w14:paraId="2552BBE6">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▲4）功能满足但不限于：支持Smart H.265/H.2-65/Smart H.264/H.264/MPEG4编码格式；</w:t>
            </w:r>
          </w:p>
          <w:p w14:paraId="652704C4">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▲5）功能满足但不限于：支持PCM/G711A/G711U/G726/AAC音频格式</w:t>
            </w:r>
          </w:p>
          <w:p w14:paraId="4FABC7DF">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6）功能满足但不限于：支持VGA、HDMI异源输出，HDMI视频输出分辨率最高达4K；</w:t>
            </w:r>
          </w:p>
          <w:p w14:paraId="3B454576">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7）功能满足但不限于：性能满足但不限于：支持5个SATA 接口的硬盘，每个 SATA 口最大可接入20T 容量的硬盘，支持16路摄像机接入；</w:t>
            </w:r>
          </w:p>
          <w:p w14:paraId="00996B8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8）功能满足但不限于：支持前端智能：</w:t>
            </w:r>
            <w:r>
              <w:rPr>
                <w:rFonts w:hint="eastAsia" w:ascii="Helvetica" w:hAnsi="Helvetica" w:eastAsia="宋体" w:cs="Helvetica"/>
                <w:i w:val="0"/>
                <w:iCs w:val="0"/>
                <w:caps w:val="0"/>
                <w:color w:val="292929"/>
                <w:spacing w:val="0"/>
                <w:sz w:val="19"/>
                <w:szCs w:val="19"/>
                <w:vertAlign w:val="baseline"/>
                <w:lang w:eastAsia="zh-CN"/>
              </w:rPr>
              <w:t>区域</w:t>
            </w:r>
            <w:r>
              <w:rPr>
                <w:rFonts w:hint="default" w:ascii="Helvetica" w:hAnsi="Helvetica" w:eastAsia="Helvetica" w:cs="Helvetica"/>
                <w:i w:val="0"/>
                <w:iCs w:val="0"/>
                <w:caps w:val="0"/>
                <w:color w:val="292929"/>
                <w:spacing w:val="0"/>
                <w:sz w:val="19"/>
                <w:szCs w:val="19"/>
                <w:vertAlign w:val="baseline"/>
              </w:rPr>
              <w:t>入侵、快速移动、虚焦侦测、场景变更、物品移除、</w:t>
            </w:r>
            <w:r>
              <w:rPr>
                <w:rFonts w:hint="eastAsia" w:ascii="Helvetica" w:hAnsi="Helvetica" w:eastAsia="宋体" w:cs="Helvetica"/>
                <w:i w:val="0"/>
                <w:iCs w:val="0"/>
                <w:caps w:val="0"/>
                <w:color w:val="292929"/>
                <w:spacing w:val="0"/>
                <w:sz w:val="19"/>
                <w:szCs w:val="19"/>
                <w:vertAlign w:val="baseline"/>
                <w:lang w:eastAsia="zh-CN"/>
              </w:rPr>
              <w:t>区域</w:t>
            </w:r>
            <w:r>
              <w:rPr>
                <w:rFonts w:hint="default" w:ascii="Helvetica" w:hAnsi="Helvetica" w:eastAsia="Helvetica" w:cs="Helvetica"/>
                <w:i w:val="0"/>
                <w:iCs w:val="0"/>
                <w:caps w:val="0"/>
                <w:color w:val="292929"/>
                <w:spacing w:val="0"/>
                <w:sz w:val="19"/>
                <w:szCs w:val="19"/>
                <w:vertAlign w:val="baseline"/>
              </w:rPr>
              <w:t>入侵、进入区域；</w:t>
            </w:r>
          </w:p>
          <w:p w14:paraId="2DD94863">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9）功能满足但不限于：支持远程管理IPC功能，支持对前端IPC远程升级，支持远程对IPC的编码配置修改等操作；</w:t>
            </w:r>
          </w:p>
          <w:p w14:paraId="31D983E3">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10）功能满足但不限于：支持语音对讲，客户端通过本设备与网络摄像机进行语音对讲；</w:t>
            </w:r>
          </w:p>
          <w:p w14:paraId="59CF8801">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11）功能满足但不限于：支持预览图像与回放图像的电子放大；</w:t>
            </w:r>
          </w:p>
          <w:p w14:paraId="06A0AAA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▲12）功能满足但不限于：支持实时监测并显示系统正在进行的录像备份任务，可查看剩余录像大小、剩余时间、备份进度百分比和进度条；</w:t>
            </w:r>
          </w:p>
          <w:p w14:paraId="3062B4F5">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13）功能满足但不限于：支持标签自定义功能，设备支持对指定时间的录像进行标签并归档，便于后续</w:t>
            </w:r>
            <w:r>
              <w:rPr>
                <w:rFonts w:hint="eastAsia" w:ascii="Helvetica" w:hAnsi="Helvetica" w:eastAsia="宋体" w:cs="Helvetica"/>
                <w:i w:val="0"/>
                <w:iCs w:val="0"/>
                <w:caps w:val="0"/>
                <w:color w:val="292929"/>
                <w:spacing w:val="0"/>
                <w:sz w:val="19"/>
                <w:szCs w:val="19"/>
                <w:vertAlign w:val="baseline"/>
                <w:lang w:eastAsia="zh-CN"/>
              </w:rPr>
              <w:t>查</w:t>
            </w:r>
            <w:r>
              <w:rPr>
                <w:rFonts w:hint="default" w:ascii="Helvetica" w:hAnsi="Helvetica" w:eastAsia="Helvetica" w:cs="Helvetica"/>
                <w:i w:val="0"/>
                <w:iCs w:val="0"/>
                <w:caps w:val="0"/>
                <w:color w:val="292929"/>
                <w:spacing w:val="0"/>
                <w:sz w:val="19"/>
                <w:szCs w:val="19"/>
                <w:vertAlign w:val="baseline"/>
              </w:rPr>
              <w:t>看；</w:t>
            </w:r>
          </w:p>
          <w:p w14:paraId="20C4530D">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14）功能满足但不限于：支持按时间、按事件等多种方式进行录像的检索、回放、备份，支持图片本地回放与查询；</w:t>
            </w:r>
          </w:p>
          <w:p w14:paraId="084CC79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▲15）功能满足但不限于：支持断网续传功能，能对前端摄像机断网这段时间内SD卡中的录像回传到本设备；</w:t>
            </w:r>
          </w:p>
          <w:p w14:paraId="6432F254">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16）功能满足但不限于：支持走廊模式功能，支持IPC画面旋转90°或270°，</w:t>
            </w:r>
            <w:r>
              <w:rPr>
                <w:rFonts w:hint="eastAsia" w:ascii="Helvetica" w:hAnsi="Helvetica" w:eastAsia="宋体" w:cs="Helvetica"/>
                <w:i w:val="0"/>
                <w:iCs w:val="0"/>
                <w:caps w:val="0"/>
                <w:color w:val="292929"/>
                <w:spacing w:val="0"/>
                <w:sz w:val="19"/>
                <w:szCs w:val="19"/>
                <w:vertAlign w:val="baseline"/>
                <w:lang w:eastAsia="zh-CN"/>
              </w:rPr>
              <w:t>呈</w:t>
            </w:r>
            <w:r>
              <w:rPr>
                <w:rFonts w:hint="default" w:ascii="Helvetica" w:hAnsi="Helvetica" w:eastAsia="Helvetica" w:cs="Helvetica"/>
                <w:i w:val="0"/>
                <w:iCs w:val="0"/>
                <w:caps w:val="0"/>
                <w:color w:val="292929"/>
                <w:spacing w:val="0"/>
                <w:sz w:val="19"/>
                <w:szCs w:val="19"/>
                <w:vertAlign w:val="baseline"/>
              </w:rPr>
              <w:t>9:16走廊模式；</w:t>
            </w:r>
          </w:p>
          <w:p w14:paraId="3E670C5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17）功能满足但不限于：支持IPv4、IPv6、HTTP、NTP、DNS、ONVIF网络协议；</w:t>
            </w:r>
          </w:p>
          <w:p w14:paraId="15C8ED44">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▲18）性能满足但不限于：内置 SIP-UA 功能，可实现 SIP 协议的会话控制、信令交互等系列功能；</w:t>
            </w:r>
          </w:p>
          <w:p w14:paraId="66EB74D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default" w:ascii="Helvetica" w:hAnsi="Helvetica" w:eastAsia="Helvetica" w:cs="Helvetica"/>
                <w:i w:val="0"/>
                <w:iCs w:val="0"/>
                <w:caps w:val="0"/>
                <w:color w:val="292929"/>
                <w:spacing w:val="0"/>
                <w:sz w:val="19"/>
                <w:szCs w:val="19"/>
                <w:vertAlign w:val="baseline"/>
              </w:rPr>
              <w:t>▲19）性能满足但不限于：最大存储码流为 256Mbps；最大转发码流为 256Mbps；最大回放码流为128Mbps；可添加和激活局域网内的网络摄像机</w:t>
            </w:r>
          </w:p>
          <w:p w14:paraId="278A6074">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eastAsia" w:ascii="Helvetica" w:hAnsi="Helvetica" w:eastAsia="宋体" w:cs="Helvetica"/>
                <w:i w:val="0"/>
                <w:iCs w:val="0"/>
                <w:caps w:val="0"/>
                <w:color w:val="292929"/>
                <w:spacing w:val="0"/>
                <w:sz w:val="19"/>
                <w:szCs w:val="19"/>
                <w:vertAlign w:val="baseline"/>
                <w:lang w:val="en-US" w:eastAsia="zh-CN"/>
              </w:rPr>
              <w:t>20</w:t>
            </w:r>
            <w:r>
              <w:rPr>
                <w:rFonts w:hint="default" w:ascii="Helvetica" w:hAnsi="Helvetica" w:eastAsia="Helvetica" w:cs="Helvetica"/>
                <w:i w:val="0"/>
                <w:iCs w:val="0"/>
                <w:caps w:val="0"/>
                <w:color w:val="292929"/>
                <w:spacing w:val="0"/>
                <w:sz w:val="19"/>
                <w:szCs w:val="19"/>
                <w:vertAlign w:val="baseline"/>
              </w:rPr>
              <w:t>▲介于考试系统的特殊性，根据国家教育考试规范要求；所提供产品必须符合《国家教育考试网上巡查系统视频标准技术规范（2017版）》相关技术规范；需与云南省国家教育考试巡查系统平台互联互通。</w:t>
            </w:r>
          </w:p>
          <w:p w14:paraId="0F6DD496">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default" w:ascii="Helvetica" w:hAnsi="Helvetica" w:eastAsia="Helvetica" w:cs="Helvetica"/>
                <w:i w:val="0"/>
                <w:iCs w:val="0"/>
                <w:caps w:val="0"/>
                <w:color w:val="292929"/>
                <w:spacing w:val="0"/>
                <w:sz w:val="19"/>
                <w:szCs w:val="19"/>
                <w:vertAlign w:val="baseline"/>
              </w:rPr>
            </w:pPr>
            <w:r>
              <w:rPr>
                <w:rFonts w:hint="eastAsia" w:ascii="Helvetica" w:hAnsi="Helvetica" w:eastAsia="宋体" w:cs="Helvetica"/>
                <w:i w:val="0"/>
                <w:iCs w:val="0"/>
                <w:caps w:val="0"/>
                <w:color w:val="292929"/>
                <w:spacing w:val="0"/>
                <w:sz w:val="19"/>
                <w:szCs w:val="19"/>
                <w:vertAlign w:val="baseline"/>
                <w:lang w:val="en-US" w:eastAsia="zh-CN"/>
              </w:rPr>
              <w:t>21.配备6TB存储。</w:t>
            </w:r>
          </w:p>
        </w:tc>
        <w:tc>
          <w:tcPr>
            <w:tcW w:w="1249" w:type="dxa"/>
          </w:tcPr>
          <w:p w14:paraId="4C2D51EE">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w:t>
            </w:r>
            <w:r>
              <w:rPr>
                <w:rFonts w:hint="eastAsia" w:ascii="Helvetica" w:hAnsi="Helvetica" w:cs="Helvetica"/>
                <w:i w:val="0"/>
                <w:iCs w:val="0"/>
                <w:caps w:val="0"/>
                <w:color w:val="292929"/>
                <w:spacing w:val="0"/>
                <w:sz w:val="19"/>
                <w:szCs w:val="19"/>
                <w:vertAlign w:val="baseline"/>
                <w:lang w:val="en-US" w:eastAsia="zh-CN"/>
              </w:rPr>
              <w:t>套</w:t>
            </w:r>
          </w:p>
        </w:tc>
      </w:tr>
      <w:tr w14:paraId="5113C146">
        <w:tc>
          <w:tcPr>
            <w:tcW w:w="1121" w:type="dxa"/>
          </w:tcPr>
          <w:p w14:paraId="7F2BA290">
            <w:pPr>
              <w:pStyle w:val="35"/>
              <w:keepNext w:val="0"/>
              <w:keepLines w:val="0"/>
              <w:widowControl/>
              <w:numPr>
                <w:ilvl w:val="0"/>
                <w:numId w:val="0"/>
              </w:numPr>
              <w:suppressLineNumbers w:val="0"/>
              <w:ind w:right="0" w:rightChars="0"/>
              <w:jc w:val="center"/>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3</w:t>
            </w:r>
          </w:p>
        </w:tc>
        <w:tc>
          <w:tcPr>
            <w:tcW w:w="2600" w:type="dxa"/>
          </w:tcPr>
          <w:p w14:paraId="37285584">
            <w:pPr>
              <w:pStyle w:val="35"/>
              <w:keepNext w:val="0"/>
              <w:keepLines w:val="0"/>
              <w:widowControl/>
              <w:numPr>
                <w:ilvl w:val="0"/>
                <w:numId w:val="0"/>
              </w:numPr>
              <w:suppressLineNumbers w:val="0"/>
              <w:ind w:right="0" w:rightChars="0"/>
              <w:jc w:val="left"/>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接入交换机</w:t>
            </w:r>
          </w:p>
        </w:tc>
        <w:tc>
          <w:tcPr>
            <w:tcW w:w="4390" w:type="dxa"/>
            <w:vAlign w:val="top"/>
          </w:tcPr>
          <w:p w14:paraId="4CF49837">
            <w:pPr>
              <w:pStyle w:val="35"/>
              <w:keepNext w:val="0"/>
              <w:keepLines w:val="0"/>
              <w:widowControl/>
              <w:numPr>
                <w:ilvl w:val="0"/>
                <w:numId w:val="0"/>
              </w:numPr>
              <w:suppressLineNumbers w:val="0"/>
              <w:ind w:left="0" w:leftChars="0" w:right="0" w:rightChars="0" w:firstLine="0" w:firstLineChars="0"/>
              <w:jc w:val="left"/>
              <w:rPr>
                <w:rFonts w:hint="default" w:ascii="Helvetica" w:hAnsi="Helvetica" w:eastAsia="Helvetica" w:cs="Helvetica"/>
                <w:i w:val="0"/>
                <w:iCs w:val="0"/>
                <w:caps w:val="0"/>
                <w:color w:val="292929"/>
                <w:spacing w:val="0"/>
                <w:sz w:val="19"/>
                <w:szCs w:val="19"/>
                <w:vertAlign w:val="baseline"/>
                <w:lang w:val="en-US"/>
              </w:rPr>
            </w:pPr>
            <w:r>
              <w:rPr>
                <w:rFonts w:hint="eastAsia" w:ascii="Helvetica" w:hAnsi="Helvetica" w:eastAsia="宋体" w:cs="Helvetica"/>
                <w:i w:val="0"/>
                <w:iCs w:val="0"/>
                <w:caps w:val="0"/>
                <w:color w:val="292929"/>
                <w:spacing w:val="0"/>
                <w:sz w:val="19"/>
                <w:szCs w:val="19"/>
                <w:vertAlign w:val="baseline"/>
                <w:lang w:val="en-US" w:eastAsia="zh-CN"/>
              </w:rPr>
              <w:t>交换容量336Gbps，包转发率78Mpps，24口10/100/1000Mbps自适应电口交换机，固化4个SFP千兆光口，支持VLAN、ACL、端口镜像、端口聚合等功能，</w:t>
            </w:r>
            <w:r>
              <w:rPr>
                <w:rFonts w:hint="eastAsia" w:ascii="Helvetica" w:hAnsi="Helvetica" w:cs="Helvetica"/>
                <w:i w:val="0"/>
                <w:iCs w:val="0"/>
                <w:caps w:val="0"/>
                <w:color w:val="292929"/>
                <w:spacing w:val="0"/>
                <w:sz w:val="19"/>
                <w:szCs w:val="19"/>
                <w:vertAlign w:val="baseline"/>
                <w:lang w:val="en-US" w:eastAsia="zh-CN"/>
              </w:rPr>
              <w:t>配套相关光模块，能够接入学校现有标考使用交换机。</w:t>
            </w:r>
          </w:p>
        </w:tc>
        <w:tc>
          <w:tcPr>
            <w:tcW w:w="1249" w:type="dxa"/>
          </w:tcPr>
          <w:p w14:paraId="783D3735">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1台</w:t>
            </w:r>
          </w:p>
        </w:tc>
      </w:tr>
      <w:tr w14:paraId="415D94EE">
        <w:tc>
          <w:tcPr>
            <w:tcW w:w="1121" w:type="dxa"/>
          </w:tcPr>
          <w:p w14:paraId="5AC1D019">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4</w:t>
            </w:r>
          </w:p>
        </w:tc>
        <w:tc>
          <w:tcPr>
            <w:tcW w:w="2600" w:type="dxa"/>
          </w:tcPr>
          <w:p w14:paraId="243BC488">
            <w:pPr>
              <w:pStyle w:val="35"/>
              <w:keepNext w:val="0"/>
              <w:keepLines w:val="0"/>
              <w:widowControl/>
              <w:numPr>
                <w:ilvl w:val="0"/>
                <w:numId w:val="0"/>
              </w:numPr>
              <w:suppressLineNumbers w:val="0"/>
              <w:ind w:right="0" w:rightChars="0"/>
              <w:jc w:val="left"/>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CD播放器</w:t>
            </w:r>
          </w:p>
        </w:tc>
        <w:tc>
          <w:tcPr>
            <w:tcW w:w="4390" w:type="dxa"/>
            <w:vAlign w:val="top"/>
          </w:tcPr>
          <w:p w14:paraId="1088B845">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1.DVD/VCD/CD/CD-RW/MP4(AVI)MP3碟片播</w:t>
            </w:r>
            <w:r>
              <w:rPr>
                <w:rFonts w:hint="eastAsia" w:ascii="Helvetica" w:hAnsi="Helvetica" w:cs="Helvetica"/>
                <w:i w:val="0"/>
                <w:iCs w:val="0"/>
                <w:caps w:val="0"/>
                <w:color w:val="292929"/>
                <w:spacing w:val="0"/>
                <w:sz w:val="19"/>
                <w:szCs w:val="19"/>
                <w:vertAlign w:val="baseline"/>
                <w:lang w:val="en-US" w:eastAsia="zh-CN"/>
              </w:rPr>
              <w:t>放</w:t>
            </w:r>
          </w:p>
          <w:p w14:paraId="0DBA2F6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2.磁带/DVD/USB/SD/MMC复读；</w:t>
            </w:r>
          </w:p>
          <w:p w14:paraId="3E0240BF">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3.CD/MP3碟转录USB/SD/MMC功能卡功能；</w:t>
            </w:r>
          </w:p>
          <w:p w14:paraId="019B382D">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4.卡式磁带录放音；</w:t>
            </w:r>
          </w:p>
          <w:p w14:paraId="0039708C">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5.调频调幅两波段收音；</w:t>
            </w:r>
          </w:p>
          <w:p w14:paraId="466C4CD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6.特设USB/SD卡接口；</w:t>
            </w:r>
          </w:p>
          <w:p w14:paraId="569835A9">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7.使用交直流两用电源；</w:t>
            </w:r>
          </w:p>
          <w:p w14:paraId="1F71D349">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8.不低于21键遥控，随心所欲；</w:t>
            </w:r>
          </w:p>
          <w:p w14:paraId="140FE42E">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9.环绕重低音；</w:t>
            </w:r>
          </w:p>
          <w:p w14:paraId="72BB94B7">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2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10.免打扰耳机插口。</w:t>
            </w:r>
          </w:p>
        </w:tc>
        <w:tc>
          <w:tcPr>
            <w:tcW w:w="1249" w:type="dxa"/>
          </w:tcPr>
          <w:p w14:paraId="76A8A342">
            <w:pPr>
              <w:pStyle w:val="35"/>
              <w:keepNext w:val="0"/>
              <w:keepLines w:val="0"/>
              <w:widowControl/>
              <w:numPr>
                <w:ilvl w:val="0"/>
                <w:numId w:val="0"/>
              </w:numPr>
              <w:suppressLineNumbers w:val="0"/>
              <w:ind w:right="0" w:rightChars="0"/>
              <w:jc w:val="center"/>
              <w:rPr>
                <w:rFonts w:hint="default" w:ascii="Helvetica" w:hAnsi="Helvetica"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10台</w:t>
            </w:r>
          </w:p>
        </w:tc>
      </w:tr>
      <w:tr w14:paraId="660B68E6">
        <w:tc>
          <w:tcPr>
            <w:tcW w:w="1121" w:type="dxa"/>
          </w:tcPr>
          <w:p w14:paraId="756A406F">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5</w:t>
            </w:r>
          </w:p>
        </w:tc>
        <w:tc>
          <w:tcPr>
            <w:tcW w:w="2600" w:type="dxa"/>
          </w:tcPr>
          <w:p w14:paraId="1C79B883">
            <w:pPr>
              <w:pStyle w:val="35"/>
              <w:keepNext w:val="0"/>
              <w:keepLines w:val="0"/>
              <w:widowControl/>
              <w:numPr>
                <w:ilvl w:val="0"/>
                <w:numId w:val="0"/>
              </w:numPr>
              <w:suppressLineNumbers w:val="0"/>
              <w:ind w:right="0" w:rightChars="0"/>
              <w:jc w:val="left"/>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CD/MP3播放器</w:t>
            </w:r>
          </w:p>
        </w:tc>
        <w:tc>
          <w:tcPr>
            <w:tcW w:w="4390" w:type="dxa"/>
            <w:vAlign w:val="top"/>
          </w:tcPr>
          <w:p w14:paraId="650263E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1.1U铝合金面板，人性化的抽手设计，美观实用。</w:t>
            </w:r>
          </w:p>
          <w:p w14:paraId="499244E5">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2.微电脑控制，轻触式按键操作，高亮度动态LED显示，清晰醒目。</w:t>
            </w:r>
          </w:p>
          <w:p w14:paraId="0CDC334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3.采用进口数码机芯，吸入式防震设备，超强纠错功能。</w:t>
            </w:r>
          </w:p>
          <w:p w14:paraId="0C0E510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4.自动播放控制，全数码伺服。</w:t>
            </w:r>
          </w:p>
          <w:p w14:paraId="3CB7B2F4">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5.带USB接口，支持1G至32G U盘，支持MP3、WMA、APE、FLAC等格式播放。</w:t>
            </w:r>
          </w:p>
          <w:p w14:paraId="6D6F7B76">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6.可播放：CD/VCD/MP3/DVD碟片，U盘播放。</w:t>
            </w:r>
          </w:p>
          <w:p w14:paraId="18305398">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7.1路音频信号左右声道（L /R）输出。</w:t>
            </w:r>
          </w:p>
          <w:p w14:paraId="62E428E8">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8.视频输出、分量输出、同轴、S端子及光纤输出。</w:t>
            </w:r>
          </w:p>
          <w:p w14:paraId="6DF15A13">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9.可通过面板按键或红外遥控器控制操作。</w:t>
            </w:r>
          </w:p>
          <w:p w14:paraId="2E7FEE6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10.可扩展红外遥控面板，对其进行控制。</w:t>
            </w:r>
          </w:p>
          <w:p w14:paraId="3AB99D6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11.带网络远程控制接口，可由PC服务器、远程网络话筒、主机控制播放所需音乐、开关机等。</w:t>
            </w:r>
          </w:p>
          <w:p w14:paraId="7D040DF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 xml:space="preserve">频率响应：20-20KHz±3 dB </w:t>
            </w:r>
          </w:p>
          <w:p w14:paraId="110A30E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信号噪声比：S/N &gt;80dB</w:t>
            </w:r>
          </w:p>
          <w:p w14:paraId="5954FBA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 xml:space="preserve">音源额定输出功率：10KΩ 0.775mV </w:t>
            </w:r>
          </w:p>
          <w:p w14:paraId="0CB2929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音频接口：双莲花接头</w:t>
            </w:r>
          </w:p>
          <w:p w14:paraId="4C9955C2">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 xml:space="preserve">播放类型：CD/VCD/MP3/DVD碟片 </w:t>
            </w:r>
          </w:p>
          <w:p w14:paraId="50A40E97">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显示方式：数码屏显示</w:t>
            </w:r>
          </w:p>
          <w:p w14:paraId="142F2B5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 xml:space="preserve">播放格式：MP3/WMA/WAV/CD/AVI/FLAC </w:t>
            </w:r>
          </w:p>
          <w:p w14:paraId="68CD05EF">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电源</w:t>
            </w:r>
            <w:r>
              <w:rPr>
                <w:rFonts w:hint="eastAsia" w:ascii="Helvetica" w:hAnsi="Helvetica" w:cs="Helvetica"/>
                <w:i w:val="0"/>
                <w:iCs w:val="0"/>
                <w:caps w:val="0"/>
                <w:color w:val="292929"/>
                <w:spacing w:val="0"/>
                <w:sz w:val="19"/>
                <w:szCs w:val="19"/>
                <w:vertAlign w:val="baseline"/>
                <w:lang w:val="en-US" w:eastAsia="zh-CN"/>
              </w:rPr>
              <w:t>：</w:t>
            </w:r>
            <w:r>
              <w:rPr>
                <w:rFonts w:hint="eastAsia" w:ascii="Helvetica" w:hAnsi="Helvetica" w:eastAsia="宋体" w:cs="Helvetica"/>
                <w:i w:val="0"/>
                <w:iCs w:val="0"/>
                <w:caps w:val="0"/>
                <w:color w:val="292929"/>
                <w:spacing w:val="0"/>
                <w:sz w:val="19"/>
                <w:szCs w:val="19"/>
                <w:vertAlign w:val="baseline"/>
                <w:lang w:val="en-US" w:eastAsia="zh-CN"/>
              </w:rPr>
              <w:t xml:space="preserve"> AC 200</w:t>
            </w:r>
            <w:r>
              <w:rPr>
                <w:rFonts w:hint="eastAsia" w:ascii="Helvetica" w:hAnsi="Helvetica" w:cs="Helvetica"/>
                <w:i w:val="0"/>
                <w:iCs w:val="0"/>
                <w:caps w:val="0"/>
                <w:color w:val="292929"/>
                <w:spacing w:val="0"/>
                <w:sz w:val="19"/>
                <w:szCs w:val="19"/>
                <w:vertAlign w:val="baseline"/>
                <w:lang w:val="en-US" w:eastAsia="zh-CN"/>
              </w:rPr>
              <w:t>—</w:t>
            </w:r>
            <w:r>
              <w:rPr>
                <w:rFonts w:hint="eastAsia" w:ascii="Helvetica" w:hAnsi="Helvetica" w:eastAsia="宋体" w:cs="Helvetica"/>
                <w:i w:val="0"/>
                <w:iCs w:val="0"/>
                <w:caps w:val="0"/>
                <w:color w:val="292929"/>
                <w:spacing w:val="0"/>
                <w:sz w:val="19"/>
                <w:szCs w:val="19"/>
                <w:vertAlign w:val="baseline"/>
                <w:lang w:val="en-US" w:eastAsia="zh-CN"/>
              </w:rPr>
              <w:t>240V 50</w:t>
            </w:r>
            <w:r>
              <w:rPr>
                <w:rFonts w:hint="eastAsia" w:ascii="Helvetica" w:hAnsi="Helvetica" w:cs="Helvetica"/>
                <w:i w:val="0"/>
                <w:iCs w:val="0"/>
                <w:caps w:val="0"/>
                <w:color w:val="292929"/>
                <w:spacing w:val="0"/>
                <w:sz w:val="19"/>
                <w:szCs w:val="19"/>
                <w:vertAlign w:val="baseline"/>
                <w:lang w:val="en-US" w:eastAsia="zh-CN"/>
              </w:rPr>
              <w:t>—</w:t>
            </w:r>
            <w:r>
              <w:rPr>
                <w:rFonts w:hint="eastAsia" w:ascii="Helvetica" w:hAnsi="Helvetica" w:eastAsia="宋体" w:cs="Helvetica"/>
                <w:i w:val="0"/>
                <w:iCs w:val="0"/>
                <w:caps w:val="0"/>
                <w:color w:val="292929"/>
                <w:spacing w:val="0"/>
                <w:sz w:val="19"/>
                <w:szCs w:val="19"/>
                <w:vertAlign w:val="baseline"/>
                <w:lang w:val="en-US" w:eastAsia="zh-CN"/>
              </w:rPr>
              <w:t>60Hz</w:t>
            </w:r>
          </w:p>
          <w:p w14:paraId="3913550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 xml:space="preserve">非线性失真：THD&lt;0.055% at 1kHz </w:t>
            </w:r>
          </w:p>
          <w:p w14:paraId="6DF936EB">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电力消耗：&lt;30W</w:t>
            </w:r>
          </w:p>
          <w:p w14:paraId="17B5B65A">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 xml:space="preserve">音频输出方式：1KΩ 0-1.5V非平衡 </w:t>
            </w:r>
          </w:p>
          <w:p w14:paraId="06D056E0">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电力消耗</w:t>
            </w:r>
            <w:r>
              <w:rPr>
                <w:rFonts w:hint="eastAsia" w:ascii="Helvetica" w:hAnsi="Helvetica" w:cs="Helvetica"/>
                <w:i w:val="0"/>
                <w:iCs w:val="0"/>
                <w:caps w:val="0"/>
                <w:color w:val="292929"/>
                <w:spacing w:val="0"/>
                <w:sz w:val="19"/>
                <w:szCs w:val="19"/>
                <w:vertAlign w:val="baseline"/>
                <w:lang w:val="en-US" w:eastAsia="zh-CN"/>
              </w:rPr>
              <w:t>（</w:t>
            </w:r>
            <w:r>
              <w:rPr>
                <w:rFonts w:hint="eastAsia" w:ascii="Helvetica" w:hAnsi="Helvetica" w:eastAsia="宋体" w:cs="Helvetica"/>
                <w:i w:val="0"/>
                <w:iCs w:val="0"/>
                <w:caps w:val="0"/>
                <w:color w:val="292929"/>
                <w:spacing w:val="0"/>
                <w:sz w:val="19"/>
                <w:szCs w:val="19"/>
                <w:vertAlign w:val="baseline"/>
                <w:lang w:val="en-US" w:eastAsia="zh-CN"/>
              </w:rPr>
              <w:t>待机</w:t>
            </w:r>
            <w:r>
              <w:rPr>
                <w:rFonts w:hint="eastAsia" w:ascii="Helvetica" w:hAnsi="Helvetica" w:cs="Helvetica"/>
                <w:i w:val="0"/>
                <w:iCs w:val="0"/>
                <w:caps w:val="0"/>
                <w:color w:val="292929"/>
                <w:spacing w:val="0"/>
                <w:sz w:val="19"/>
                <w:szCs w:val="19"/>
                <w:vertAlign w:val="baseline"/>
                <w:lang w:val="en-US" w:eastAsia="zh-CN"/>
              </w:rPr>
              <w:t>）</w:t>
            </w:r>
            <w:r>
              <w:rPr>
                <w:rFonts w:hint="eastAsia" w:ascii="Helvetica" w:hAnsi="Helvetica" w:eastAsia="宋体" w:cs="Helvetica"/>
                <w:i w:val="0"/>
                <w:iCs w:val="0"/>
                <w:caps w:val="0"/>
                <w:color w:val="292929"/>
                <w:spacing w:val="0"/>
                <w:sz w:val="19"/>
                <w:szCs w:val="19"/>
                <w:vertAlign w:val="baseline"/>
                <w:lang w:val="en-US" w:eastAsia="zh-CN"/>
              </w:rPr>
              <w:t>：&lt;10W</w:t>
            </w:r>
          </w:p>
          <w:p w14:paraId="7B7676DE">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输入灵敏度：MIC1:600Ω 10Mv</w:t>
            </w:r>
            <w:r>
              <w:rPr>
                <w:rFonts w:hint="eastAsia" w:ascii="Helvetica" w:hAnsi="Helvetica" w:cs="Helvetica"/>
                <w:i w:val="0"/>
                <w:iCs w:val="0"/>
                <w:caps w:val="0"/>
                <w:color w:val="292929"/>
                <w:spacing w:val="0"/>
                <w:sz w:val="19"/>
                <w:szCs w:val="19"/>
                <w:vertAlign w:val="baseline"/>
                <w:lang w:val="en-US" w:eastAsia="zh-CN"/>
              </w:rPr>
              <w:t>，</w:t>
            </w:r>
            <w:r>
              <w:rPr>
                <w:rFonts w:hint="eastAsia" w:ascii="Helvetica" w:hAnsi="Helvetica" w:eastAsia="宋体" w:cs="Helvetica"/>
                <w:i w:val="0"/>
                <w:iCs w:val="0"/>
                <w:caps w:val="0"/>
                <w:color w:val="292929"/>
                <w:spacing w:val="0"/>
                <w:sz w:val="19"/>
                <w:szCs w:val="19"/>
                <w:vertAlign w:val="baseline"/>
                <w:lang w:val="en-US" w:eastAsia="zh-CN"/>
              </w:rPr>
              <w:t xml:space="preserve">不平衡 </w:t>
            </w:r>
          </w:p>
          <w:p w14:paraId="527CFBA1">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尺寸</w:t>
            </w:r>
            <w:r>
              <w:rPr>
                <w:rFonts w:hint="eastAsia" w:ascii="Helvetica" w:hAnsi="Helvetica" w:cs="Helvetica"/>
                <w:i w:val="0"/>
                <w:iCs w:val="0"/>
                <w:caps w:val="0"/>
                <w:color w:val="292929"/>
                <w:spacing w:val="0"/>
                <w:sz w:val="19"/>
                <w:szCs w:val="19"/>
                <w:vertAlign w:val="baseline"/>
                <w:lang w:val="en-US" w:eastAsia="zh-CN"/>
              </w:rPr>
              <w:t>（</w:t>
            </w:r>
            <w:r>
              <w:rPr>
                <w:rFonts w:hint="eastAsia" w:ascii="Helvetica" w:hAnsi="Helvetica" w:eastAsia="宋体" w:cs="Helvetica"/>
                <w:i w:val="0"/>
                <w:iCs w:val="0"/>
                <w:caps w:val="0"/>
                <w:color w:val="292929"/>
                <w:spacing w:val="0"/>
                <w:sz w:val="19"/>
                <w:szCs w:val="19"/>
                <w:vertAlign w:val="baseline"/>
                <w:lang w:val="en-US" w:eastAsia="zh-CN"/>
              </w:rPr>
              <w:t>WxHxD</w:t>
            </w:r>
            <w:r>
              <w:rPr>
                <w:rFonts w:hint="eastAsia" w:ascii="Helvetica" w:hAnsi="Helvetica" w:cs="Helvetica"/>
                <w:i w:val="0"/>
                <w:iCs w:val="0"/>
                <w:caps w:val="0"/>
                <w:color w:val="292929"/>
                <w:spacing w:val="0"/>
                <w:sz w:val="19"/>
                <w:szCs w:val="19"/>
                <w:vertAlign w:val="baseline"/>
                <w:lang w:val="en-US" w:eastAsia="zh-CN"/>
              </w:rPr>
              <w:t>）</w:t>
            </w:r>
            <w:r>
              <w:rPr>
                <w:rFonts w:hint="eastAsia" w:ascii="Helvetica" w:hAnsi="Helvetica" w:eastAsia="宋体" w:cs="Helvetica"/>
                <w:i w:val="0"/>
                <w:iCs w:val="0"/>
                <w:caps w:val="0"/>
                <w:color w:val="292929"/>
                <w:spacing w:val="0"/>
                <w:sz w:val="19"/>
                <w:szCs w:val="19"/>
                <w:vertAlign w:val="baseline"/>
                <w:lang w:val="en-US" w:eastAsia="zh-CN"/>
              </w:rPr>
              <w:t>：483x45x304mm</w:t>
            </w:r>
          </w:p>
          <w:p w14:paraId="0DABD348">
            <w:pPr>
              <w:pStyle w:val="3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exact"/>
              <w:ind w:left="0" w:leftChars="0" w:right="0" w:rightChars="0" w:firstLine="0" w:firstLineChars="0"/>
              <w:jc w:val="left"/>
              <w:textAlignment w:val="auto"/>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 xml:space="preserve">音频失真度：0.05% </w:t>
            </w:r>
          </w:p>
        </w:tc>
        <w:tc>
          <w:tcPr>
            <w:tcW w:w="1249" w:type="dxa"/>
          </w:tcPr>
          <w:p w14:paraId="6016F966">
            <w:pPr>
              <w:pStyle w:val="35"/>
              <w:keepNext w:val="0"/>
              <w:keepLines w:val="0"/>
              <w:widowControl/>
              <w:numPr>
                <w:ilvl w:val="0"/>
                <w:numId w:val="0"/>
              </w:numPr>
              <w:suppressLineNumbers w:val="0"/>
              <w:ind w:right="0" w:rightChars="0"/>
              <w:jc w:val="center"/>
              <w:rPr>
                <w:rFonts w:hint="default" w:ascii="Helvetica" w:hAnsi="Helvetica"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2台</w:t>
            </w:r>
          </w:p>
        </w:tc>
      </w:tr>
      <w:tr w14:paraId="5304219E">
        <w:tc>
          <w:tcPr>
            <w:tcW w:w="1121" w:type="dxa"/>
          </w:tcPr>
          <w:p w14:paraId="038F65B7">
            <w:pPr>
              <w:pStyle w:val="35"/>
              <w:keepNext w:val="0"/>
              <w:keepLines w:val="0"/>
              <w:widowControl/>
              <w:numPr>
                <w:ilvl w:val="0"/>
                <w:numId w:val="0"/>
              </w:numPr>
              <w:suppressLineNumbers w:val="0"/>
              <w:ind w:right="0" w:rightChars="0"/>
              <w:jc w:val="center"/>
              <w:rPr>
                <w:rFonts w:hint="eastAsia"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6</w:t>
            </w:r>
          </w:p>
        </w:tc>
        <w:tc>
          <w:tcPr>
            <w:tcW w:w="2600" w:type="dxa"/>
          </w:tcPr>
          <w:p w14:paraId="596A88D0">
            <w:pPr>
              <w:pStyle w:val="35"/>
              <w:keepNext w:val="0"/>
              <w:keepLines w:val="0"/>
              <w:widowControl/>
              <w:numPr>
                <w:ilvl w:val="0"/>
                <w:numId w:val="0"/>
              </w:numPr>
              <w:suppressLineNumbers w:val="0"/>
              <w:ind w:right="0" w:rightChars="0"/>
              <w:jc w:val="left"/>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安装材料</w:t>
            </w:r>
          </w:p>
        </w:tc>
        <w:tc>
          <w:tcPr>
            <w:tcW w:w="4390" w:type="dxa"/>
            <w:vAlign w:val="top"/>
          </w:tcPr>
          <w:p w14:paraId="1B6864B9">
            <w:pPr>
              <w:pStyle w:val="35"/>
              <w:keepNext w:val="0"/>
              <w:keepLines w:val="0"/>
              <w:widowControl/>
              <w:numPr>
                <w:ilvl w:val="0"/>
                <w:numId w:val="0"/>
              </w:numPr>
              <w:suppressLineNumbers w:val="0"/>
              <w:ind w:left="0" w:leftChars="0" w:right="0" w:rightChars="0" w:firstLine="0" w:firstLineChars="0"/>
              <w:jc w:val="left"/>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cs="Helvetica"/>
                <w:i w:val="0"/>
                <w:iCs w:val="0"/>
                <w:caps w:val="0"/>
                <w:color w:val="292929"/>
                <w:spacing w:val="0"/>
                <w:sz w:val="19"/>
                <w:szCs w:val="19"/>
                <w:vertAlign w:val="baseline"/>
                <w:lang w:val="en-US" w:eastAsia="zh-CN"/>
              </w:rPr>
              <w:t>2套视频摄像机安装及相关辅材，500米—600米光缆铺设及安装材料。</w:t>
            </w:r>
          </w:p>
        </w:tc>
        <w:tc>
          <w:tcPr>
            <w:tcW w:w="1249" w:type="dxa"/>
          </w:tcPr>
          <w:p w14:paraId="5D6D8E6D">
            <w:pPr>
              <w:pStyle w:val="35"/>
              <w:keepNext w:val="0"/>
              <w:keepLines w:val="0"/>
              <w:widowControl/>
              <w:numPr>
                <w:ilvl w:val="0"/>
                <w:numId w:val="0"/>
              </w:numPr>
              <w:suppressLineNumbers w:val="0"/>
              <w:ind w:right="0" w:rightChars="0"/>
              <w:jc w:val="center"/>
              <w:rPr>
                <w:rFonts w:hint="default" w:ascii="Helvetica" w:hAnsi="Helvetica" w:eastAsia="宋体" w:cs="Helvetica"/>
                <w:i w:val="0"/>
                <w:iCs w:val="0"/>
                <w:caps w:val="0"/>
                <w:color w:val="292929"/>
                <w:spacing w:val="0"/>
                <w:sz w:val="19"/>
                <w:szCs w:val="19"/>
                <w:vertAlign w:val="baseline"/>
                <w:lang w:val="en-US" w:eastAsia="zh-CN"/>
              </w:rPr>
            </w:pPr>
            <w:r>
              <w:rPr>
                <w:rFonts w:hint="eastAsia" w:ascii="Helvetica" w:hAnsi="Helvetica" w:eastAsia="宋体" w:cs="Helvetica"/>
                <w:i w:val="0"/>
                <w:iCs w:val="0"/>
                <w:caps w:val="0"/>
                <w:color w:val="292929"/>
                <w:spacing w:val="0"/>
                <w:sz w:val="19"/>
                <w:szCs w:val="19"/>
                <w:vertAlign w:val="baseline"/>
                <w:lang w:val="en-US" w:eastAsia="zh-CN"/>
              </w:rPr>
              <w:t>1批</w:t>
            </w:r>
          </w:p>
        </w:tc>
      </w:tr>
    </w:tbl>
    <w:p w14:paraId="484BB7B5">
      <w:pPr>
        <w:pStyle w:val="18"/>
        <w:rPr>
          <w:rFonts w:hint="default"/>
          <w:lang w:val="en-US" w:eastAsia="zh-CN"/>
        </w:rPr>
      </w:pPr>
    </w:p>
    <w:p w14:paraId="012D9891">
      <w:pPr>
        <w:widowControl/>
        <w:spacing w:line="360" w:lineRule="auto"/>
        <w:ind w:firstLine="482"/>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w:t>
      </w:r>
      <w:r>
        <w:rPr>
          <w:rFonts w:hint="eastAsia" w:ascii="仿宋" w:hAnsi="仿宋" w:eastAsia="仿宋" w:cs="仿宋"/>
          <w:color w:val="auto"/>
          <w:kern w:val="0"/>
          <w:sz w:val="22"/>
          <w:szCs w:val="22"/>
          <w:lang w:val="en-US" w:eastAsia="zh-CN"/>
        </w:rPr>
        <w:t>三</w:t>
      </w:r>
      <w:r>
        <w:rPr>
          <w:rFonts w:hint="eastAsia" w:ascii="仿宋" w:hAnsi="仿宋" w:eastAsia="仿宋" w:cs="仿宋"/>
          <w:color w:val="auto"/>
          <w:kern w:val="0"/>
          <w:sz w:val="22"/>
          <w:szCs w:val="22"/>
        </w:rPr>
        <w:t>）其他商务要求：</w:t>
      </w:r>
    </w:p>
    <w:p w14:paraId="080056BE">
      <w:pPr>
        <w:widowControl/>
        <w:spacing w:line="360" w:lineRule="auto"/>
        <w:ind w:left="197" w:leftChars="94" w:firstLine="441"/>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1.合同履行期限：</w:t>
      </w:r>
    </w:p>
    <w:p w14:paraId="154C34C6">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sz w:val="22"/>
          <w:szCs w:val="22"/>
          <w:lang w:val="en-US" w:eastAsia="zh-CN"/>
        </w:rPr>
        <w:t>供货期：</w:t>
      </w:r>
      <w:r>
        <w:rPr>
          <w:rFonts w:hint="eastAsia" w:ascii="仿宋" w:hAnsi="仿宋" w:eastAsia="仿宋" w:cs="仿宋"/>
          <w:sz w:val="22"/>
          <w:szCs w:val="22"/>
        </w:rPr>
        <w:t>自合同签订之日起</w:t>
      </w:r>
      <w:r>
        <w:rPr>
          <w:rFonts w:hint="eastAsia" w:ascii="仿宋" w:hAnsi="仿宋" w:eastAsia="仿宋" w:cs="仿宋"/>
          <w:sz w:val="22"/>
          <w:szCs w:val="22"/>
          <w:lang w:val="en-US" w:eastAsia="zh-CN"/>
        </w:rPr>
        <w:t>3</w:t>
      </w:r>
      <w:r>
        <w:rPr>
          <w:rFonts w:hint="eastAsia" w:ascii="仿宋" w:hAnsi="仿宋" w:eastAsia="仿宋" w:cs="仿宋"/>
          <w:sz w:val="22"/>
          <w:szCs w:val="22"/>
        </w:rPr>
        <w:t>日历天</w:t>
      </w:r>
      <w:r>
        <w:rPr>
          <w:rFonts w:hint="eastAsia" w:ascii="仿宋" w:hAnsi="仿宋" w:eastAsia="仿宋" w:cs="仿宋"/>
          <w:sz w:val="22"/>
          <w:szCs w:val="22"/>
          <w:lang w:eastAsia="zh-CN"/>
        </w:rPr>
        <w:t>；</w:t>
      </w:r>
      <w:bookmarkStart w:id="421" w:name="_GoBack"/>
      <w:bookmarkEnd w:id="421"/>
      <w:r>
        <w:rPr>
          <w:rFonts w:hint="eastAsia" w:ascii="仿宋" w:hAnsi="仿宋" w:eastAsia="仿宋" w:cs="仿宋"/>
          <w:sz w:val="22"/>
          <w:szCs w:val="22"/>
        </w:rPr>
        <w:t>质保期：3年，自货物交付安装调试完毕，经验收合格之日起计算</w:t>
      </w:r>
      <w:r>
        <w:rPr>
          <w:rFonts w:hint="eastAsia" w:ascii="仿宋" w:hAnsi="仿宋" w:eastAsia="仿宋" w:cs="仿宋"/>
          <w:sz w:val="22"/>
          <w:szCs w:val="22"/>
          <w:lang w:eastAsia="zh-CN"/>
        </w:rPr>
        <w:t>。</w:t>
      </w:r>
      <w:r>
        <w:rPr>
          <w:rFonts w:hint="eastAsia" w:ascii="仿宋" w:hAnsi="仿宋" w:eastAsia="仿宋" w:cs="仿宋"/>
          <w:color w:val="auto"/>
          <w:kern w:val="0"/>
          <w:sz w:val="22"/>
          <w:szCs w:val="22"/>
        </w:rPr>
        <w:t>（供应商可根据自身情况投报最短合同履行期限，包含设备完成供货、安装、调试并交付使用）。</w:t>
      </w:r>
    </w:p>
    <w:p w14:paraId="29684FC4">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2.交付地点：云南师范大学附属世纪金源学校</w:t>
      </w:r>
      <w:r>
        <w:rPr>
          <w:rFonts w:hint="eastAsia" w:ascii="仿宋" w:hAnsi="仿宋" w:eastAsia="仿宋" w:cs="仿宋"/>
          <w:color w:val="auto"/>
          <w:sz w:val="24"/>
        </w:rPr>
        <w:t>（昆明市广福路3678号）</w:t>
      </w:r>
      <w:r>
        <w:rPr>
          <w:rFonts w:hint="eastAsia" w:ascii="仿宋" w:hAnsi="仿宋" w:eastAsia="仿宋" w:cs="仿宋"/>
          <w:color w:val="auto"/>
          <w:kern w:val="0"/>
          <w:sz w:val="22"/>
          <w:szCs w:val="22"/>
        </w:rPr>
        <w:t>。</w:t>
      </w:r>
    </w:p>
    <w:p w14:paraId="2C7700B2">
      <w:pPr>
        <w:widowControl/>
        <w:spacing w:line="360" w:lineRule="auto"/>
        <w:jc w:val="left"/>
        <w:outlineLvl w:val="1"/>
        <w:rPr>
          <w:rFonts w:ascii="仿宋" w:hAnsi="仿宋" w:eastAsia="仿宋" w:cs="仿宋"/>
          <w:b/>
          <w:bCs/>
          <w:color w:val="auto"/>
          <w:kern w:val="0"/>
          <w:sz w:val="24"/>
        </w:rPr>
      </w:pPr>
      <w:bookmarkStart w:id="375" w:name="_Toc31776"/>
      <w:bookmarkEnd w:id="375"/>
      <w:r>
        <w:rPr>
          <w:rFonts w:hint="eastAsia" w:ascii="仿宋" w:hAnsi="仿宋" w:eastAsia="仿宋" w:cs="仿宋"/>
          <w:b/>
          <w:bCs/>
          <w:color w:val="auto"/>
          <w:kern w:val="0"/>
          <w:sz w:val="24"/>
          <w:lang w:val="en-US" w:eastAsia="zh-CN"/>
        </w:rPr>
        <w:t>五</w:t>
      </w:r>
      <w:r>
        <w:rPr>
          <w:rFonts w:hint="eastAsia" w:ascii="仿宋" w:hAnsi="仿宋" w:eastAsia="仿宋" w:cs="仿宋"/>
          <w:b/>
          <w:bCs/>
          <w:color w:val="auto"/>
          <w:kern w:val="0"/>
          <w:sz w:val="24"/>
        </w:rPr>
        <w:t>、采购标的的其他技术、服务等要求</w:t>
      </w:r>
    </w:p>
    <w:p w14:paraId="71D7CAA1">
      <w:pPr>
        <w:keepNext w:val="0"/>
        <w:keepLines w:val="0"/>
        <w:pageBreakBefore w:val="0"/>
        <w:widowControl w:val="0"/>
        <w:kinsoku/>
        <w:wordWrap/>
        <w:overflowPunct/>
        <w:topLinePunct w:val="0"/>
        <w:autoSpaceDE/>
        <w:autoSpaceDN/>
        <w:bidi w:val="0"/>
        <w:adjustRightInd/>
        <w:snapToGrid/>
        <w:spacing w:line="320" w:lineRule="exact"/>
        <w:ind w:firstLine="440" w:firstLineChars="200"/>
        <w:textAlignment w:val="auto"/>
        <w:rPr>
          <w:rFonts w:ascii="仿宋" w:hAnsi="仿宋" w:eastAsia="仿宋" w:cs="仿宋"/>
          <w:color w:val="auto"/>
          <w:kern w:val="0"/>
          <w:sz w:val="22"/>
          <w:szCs w:val="22"/>
        </w:rPr>
      </w:pPr>
      <w:r>
        <w:rPr>
          <w:rFonts w:hint="eastAsia" w:ascii="仿宋" w:hAnsi="仿宋" w:eastAsia="仿宋" w:cs="仿宋"/>
          <w:color w:val="auto"/>
          <w:kern w:val="0"/>
          <w:sz w:val="22"/>
          <w:szCs w:val="22"/>
        </w:rPr>
        <w:t>比选文件至少要对以下内容进行说明</w:t>
      </w:r>
    </w:p>
    <w:p w14:paraId="0E1FBD65">
      <w:pPr>
        <w:pStyle w:val="5"/>
        <w:keepNext w:val="0"/>
        <w:keepLines w:val="0"/>
        <w:pageBreakBefore w:val="0"/>
        <w:widowControl w:val="0"/>
        <w:kinsoku/>
        <w:wordWrap/>
        <w:overflowPunct/>
        <w:topLinePunct w:val="0"/>
        <w:autoSpaceDE/>
        <w:autoSpaceDN/>
        <w:bidi w:val="0"/>
        <w:adjustRightInd/>
        <w:snapToGrid/>
        <w:spacing w:after="0" w:line="320" w:lineRule="exact"/>
        <w:ind w:firstLine="420" w:firstLineChars="200"/>
        <w:textAlignment w:val="auto"/>
        <w:rPr>
          <w:rFonts w:hint="eastAsia" w:ascii="宋体" w:hAnsi="宋体" w:eastAsia="宋体"/>
          <w:color w:val="auto"/>
          <w:szCs w:val="21"/>
          <w:lang w:eastAsia="zh-CN"/>
        </w:rPr>
      </w:pPr>
      <w:bookmarkStart w:id="376" w:name="_Toc14685"/>
      <w:bookmarkEnd w:id="376"/>
      <w:bookmarkStart w:id="377" w:name="_Toc10172"/>
      <w:bookmarkEnd w:id="377"/>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p>
    <w:p w14:paraId="364BA060">
      <w:pPr>
        <w:keepNext w:val="0"/>
        <w:keepLines w:val="0"/>
        <w:pageBreakBefore w:val="0"/>
        <w:widowControl w:val="0"/>
        <w:kinsoku/>
        <w:wordWrap/>
        <w:overflowPunct/>
        <w:topLinePunct w:val="0"/>
        <w:autoSpaceDE/>
        <w:autoSpaceDN/>
        <w:bidi w:val="0"/>
        <w:adjustRightInd/>
        <w:snapToGrid/>
        <w:spacing w:line="320" w:lineRule="exact"/>
        <w:ind w:firstLine="480"/>
        <w:jc w:val="left"/>
        <w:textAlignment w:val="auto"/>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6325E074">
      <w:pPr>
        <w:keepNext w:val="0"/>
        <w:keepLines w:val="0"/>
        <w:pageBreakBefore w:val="0"/>
        <w:widowControl w:val="0"/>
        <w:kinsoku/>
        <w:wordWrap/>
        <w:overflowPunct/>
        <w:topLinePunct w:val="0"/>
        <w:autoSpaceDE/>
        <w:autoSpaceDN/>
        <w:bidi w:val="0"/>
        <w:adjustRightInd/>
        <w:snapToGrid/>
        <w:spacing w:line="320" w:lineRule="exact"/>
        <w:ind w:firstLine="480"/>
        <w:jc w:val="left"/>
        <w:textAlignment w:val="auto"/>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.服务质量承诺及保证措施</w:t>
      </w:r>
    </w:p>
    <w:p w14:paraId="524742C5">
      <w:pPr>
        <w:keepNext w:val="0"/>
        <w:keepLines w:val="0"/>
        <w:pageBreakBefore w:val="0"/>
        <w:widowControl w:val="0"/>
        <w:kinsoku/>
        <w:wordWrap/>
        <w:overflowPunct/>
        <w:topLinePunct w:val="0"/>
        <w:autoSpaceDE/>
        <w:autoSpaceDN/>
        <w:bidi w:val="0"/>
        <w:adjustRightInd/>
        <w:snapToGrid/>
        <w:spacing w:line="320" w:lineRule="exact"/>
        <w:ind w:firstLine="480"/>
        <w:jc w:val="left"/>
        <w:textAlignment w:val="auto"/>
        <w:rPr>
          <w:rFonts w:hint="eastAsia"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.违约处罚措施及承诺</w:t>
      </w:r>
    </w:p>
    <w:p w14:paraId="5BD8041C">
      <w:pPr>
        <w:pStyle w:val="7"/>
        <w:numPr>
          <w:ilvl w:val="0"/>
          <w:numId w:val="0"/>
        </w:numPr>
        <w:ind w:left="-284" w:hanging="284"/>
        <w:jc w:val="center"/>
        <w:rPr>
          <w:rFonts w:ascii="仿宋" w:hAnsi="仿宋" w:eastAsia="仿宋" w:cs="仿宋"/>
          <w:color w:val="auto"/>
          <w:sz w:val="52"/>
          <w:szCs w:val="32"/>
        </w:rPr>
      </w:pPr>
      <w:r>
        <w:rPr>
          <w:rFonts w:hint="eastAsia" w:ascii="仿宋" w:hAnsi="仿宋" w:eastAsia="仿宋" w:cs="仿宋"/>
          <w:b w:val="0"/>
          <w:bCs w:val="0"/>
          <w:color w:val="auto"/>
          <w:sz w:val="52"/>
          <w:szCs w:val="32"/>
        </w:rPr>
        <w:br w:type="page"/>
      </w:r>
      <w:r>
        <w:rPr>
          <w:rFonts w:hint="eastAsia" w:ascii="仿宋" w:hAnsi="仿宋" w:eastAsia="仿宋" w:cs="仿宋"/>
          <w:color w:val="auto"/>
          <w:sz w:val="52"/>
          <w:szCs w:val="32"/>
        </w:rPr>
        <w:t>第五章 评审办法</w:t>
      </w:r>
    </w:p>
    <w:p w14:paraId="461A4910">
      <w:pPr>
        <w:pStyle w:val="8"/>
        <w:numPr>
          <w:ilvl w:val="0"/>
          <w:numId w:val="0"/>
        </w:numPr>
        <w:spacing w:before="0"/>
        <w:ind w:left="425"/>
        <w:rPr>
          <w:rFonts w:ascii="仿宋" w:hAnsi="仿宋" w:eastAsia="仿宋" w:cs="仿宋"/>
          <w:color w:val="auto"/>
          <w:szCs w:val="28"/>
        </w:rPr>
      </w:pPr>
      <w:bookmarkStart w:id="378" w:name="_Toc19178"/>
      <w:bookmarkEnd w:id="378"/>
      <w:bookmarkStart w:id="379" w:name="_Toc2779"/>
      <w:bookmarkEnd w:id="379"/>
      <w:bookmarkStart w:id="380" w:name="_Toc11917"/>
      <w:bookmarkEnd w:id="380"/>
      <w:bookmarkStart w:id="381" w:name="_Toc4845"/>
      <w:bookmarkEnd w:id="381"/>
      <w:bookmarkStart w:id="382" w:name="_Toc12780"/>
      <w:bookmarkEnd w:id="382"/>
      <w:bookmarkStart w:id="383" w:name="_Toc19197"/>
      <w:bookmarkEnd w:id="383"/>
      <w:bookmarkStart w:id="384" w:name="_Toc5357"/>
      <w:bookmarkEnd w:id="384"/>
      <w:bookmarkStart w:id="385" w:name="_Toc13057"/>
      <w:bookmarkEnd w:id="385"/>
      <w:r>
        <w:rPr>
          <w:rFonts w:hint="eastAsia" w:ascii="仿宋" w:hAnsi="仿宋" w:eastAsia="仿宋" w:cs="仿宋"/>
          <w:color w:val="auto"/>
          <w:szCs w:val="28"/>
        </w:rPr>
        <w:t>评审程序和方法前附表</w:t>
      </w:r>
    </w:p>
    <w:tbl>
      <w:tblPr>
        <w:tblStyle w:val="37"/>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672"/>
        <w:gridCol w:w="673"/>
        <w:gridCol w:w="1563"/>
        <w:gridCol w:w="7012"/>
      </w:tblGrid>
      <w:tr w14:paraId="05B8C2C1">
        <w:trPr>
          <w:trHeight w:val="23" w:hRule="atLeast"/>
          <w:tblHeader/>
        </w:trPr>
        <w:tc>
          <w:tcPr>
            <w:tcW w:w="1345" w:type="dxa"/>
            <w:gridSpan w:val="2"/>
            <w:vAlign w:val="center"/>
          </w:tcPr>
          <w:p w14:paraId="2E20340E">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条款号</w:t>
            </w:r>
          </w:p>
        </w:tc>
        <w:tc>
          <w:tcPr>
            <w:tcW w:w="1563" w:type="dxa"/>
            <w:vAlign w:val="center"/>
          </w:tcPr>
          <w:p w14:paraId="1A046995">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内 容</w:t>
            </w:r>
          </w:p>
        </w:tc>
        <w:tc>
          <w:tcPr>
            <w:tcW w:w="7012" w:type="dxa"/>
            <w:vAlign w:val="center"/>
          </w:tcPr>
          <w:p w14:paraId="305A69AC">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标 准</w:t>
            </w:r>
          </w:p>
        </w:tc>
      </w:tr>
      <w:tr w14:paraId="4E59B67D">
        <w:trPr>
          <w:cantSplit/>
          <w:trHeight w:val="23" w:hRule="atLeast"/>
        </w:trPr>
        <w:tc>
          <w:tcPr>
            <w:tcW w:w="1345" w:type="dxa"/>
            <w:gridSpan w:val="2"/>
            <w:vMerge w:val="restart"/>
            <w:vAlign w:val="center"/>
          </w:tcPr>
          <w:p w14:paraId="679EEA04">
            <w:pPr>
              <w:spacing w:line="360" w:lineRule="auto"/>
              <w:jc w:val="center"/>
              <w:rPr>
                <w:rFonts w:ascii="仿宋" w:hAnsi="仿宋" w:eastAsia="仿宋" w:cs="仿宋"/>
                <w:color w:val="auto"/>
                <w:szCs w:val="21"/>
              </w:rPr>
            </w:pPr>
            <w:r>
              <w:rPr>
                <w:rFonts w:hint="eastAsia" w:ascii="仿宋" w:hAnsi="仿宋" w:eastAsia="仿宋" w:cs="仿宋"/>
                <w:color w:val="auto"/>
                <w:szCs w:val="21"/>
              </w:rPr>
              <w:t>2.1实质性要求审查标准</w:t>
            </w:r>
          </w:p>
        </w:tc>
        <w:tc>
          <w:tcPr>
            <w:tcW w:w="1563" w:type="dxa"/>
            <w:vAlign w:val="center"/>
          </w:tcPr>
          <w:p w14:paraId="3D7393F9">
            <w:pPr>
              <w:spacing w:line="360" w:lineRule="auto"/>
              <w:jc w:val="center"/>
              <w:rPr>
                <w:rFonts w:ascii="仿宋" w:hAnsi="仿宋" w:eastAsia="仿宋" w:cs="仿宋"/>
                <w:color w:val="auto"/>
                <w:szCs w:val="21"/>
              </w:rPr>
            </w:pPr>
            <w:r>
              <w:rPr>
                <w:rFonts w:hint="eastAsia" w:ascii="仿宋" w:hAnsi="仿宋" w:eastAsia="仿宋" w:cs="仿宋"/>
                <w:color w:val="auto"/>
                <w:szCs w:val="21"/>
              </w:rPr>
              <w:t>资格条件</w:t>
            </w:r>
          </w:p>
        </w:tc>
        <w:tc>
          <w:tcPr>
            <w:tcW w:w="7012" w:type="dxa"/>
            <w:vAlign w:val="center"/>
          </w:tcPr>
          <w:p w14:paraId="0CD43E06">
            <w:pPr>
              <w:spacing w:line="360" w:lineRule="auto"/>
              <w:jc w:val="left"/>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7DC5F99C">
        <w:trPr>
          <w:cantSplit/>
          <w:trHeight w:val="23" w:hRule="atLeast"/>
        </w:trPr>
        <w:tc>
          <w:tcPr>
            <w:tcW w:w="1345" w:type="dxa"/>
            <w:gridSpan w:val="2"/>
            <w:vMerge w:val="continue"/>
            <w:vAlign w:val="center"/>
          </w:tcPr>
          <w:p w14:paraId="60B6DC41">
            <w:pPr>
              <w:spacing w:line="360" w:lineRule="auto"/>
              <w:jc w:val="center"/>
              <w:rPr>
                <w:rFonts w:ascii="仿宋" w:hAnsi="仿宋" w:eastAsia="仿宋" w:cs="仿宋"/>
                <w:color w:val="auto"/>
                <w:szCs w:val="21"/>
              </w:rPr>
            </w:pPr>
          </w:p>
        </w:tc>
        <w:tc>
          <w:tcPr>
            <w:tcW w:w="1563" w:type="dxa"/>
            <w:vAlign w:val="center"/>
          </w:tcPr>
          <w:p w14:paraId="24D13667">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投标人承诺书</w:t>
            </w:r>
          </w:p>
        </w:tc>
        <w:tc>
          <w:tcPr>
            <w:tcW w:w="7012" w:type="dxa"/>
            <w:vAlign w:val="center"/>
          </w:tcPr>
          <w:p w14:paraId="05F17600">
            <w:pPr>
              <w:spacing w:line="360" w:lineRule="auto"/>
              <w:jc w:val="left"/>
              <w:rPr>
                <w:rFonts w:ascii="仿宋" w:hAnsi="仿宋" w:eastAsia="仿宋" w:cs="仿宋"/>
                <w:color w:val="auto"/>
                <w:szCs w:val="21"/>
              </w:rPr>
            </w:pPr>
            <w:r>
              <w:rPr>
                <w:rFonts w:hint="eastAsia" w:ascii="仿宋" w:hAnsi="仿宋" w:eastAsia="仿宋" w:cs="仿宋"/>
                <w:color w:val="auto"/>
                <w:szCs w:val="21"/>
              </w:rPr>
              <w:t>有法定代表人或其委托代理人签字或盖章，并盖单位章；符合第四章“响应文件格式”中规定的格式及内容</w:t>
            </w:r>
          </w:p>
        </w:tc>
      </w:tr>
      <w:tr w14:paraId="0B95C71A">
        <w:trPr>
          <w:trHeight w:val="23" w:hRule="atLeast"/>
        </w:trPr>
        <w:tc>
          <w:tcPr>
            <w:tcW w:w="1345" w:type="dxa"/>
            <w:gridSpan w:val="2"/>
            <w:vMerge w:val="continue"/>
            <w:vAlign w:val="center"/>
          </w:tcPr>
          <w:p w14:paraId="20481F7C">
            <w:pPr>
              <w:spacing w:line="360" w:lineRule="auto"/>
              <w:jc w:val="center"/>
              <w:rPr>
                <w:rFonts w:ascii="仿宋" w:hAnsi="仿宋" w:eastAsia="仿宋" w:cs="仿宋"/>
                <w:color w:val="auto"/>
                <w:szCs w:val="21"/>
              </w:rPr>
            </w:pPr>
          </w:p>
        </w:tc>
        <w:tc>
          <w:tcPr>
            <w:tcW w:w="1563" w:type="dxa"/>
            <w:vAlign w:val="center"/>
          </w:tcPr>
          <w:p w14:paraId="2FBF26BF">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投标人单位名称</w:t>
            </w:r>
          </w:p>
        </w:tc>
        <w:tc>
          <w:tcPr>
            <w:tcW w:w="7012" w:type="dxa"/>
            <w:vAlign w:val="center"/>
          </w:tcPr>
          <w:p w14:paraId="0FA4004C">
            <w:pPr>
              <w:spacing w:line="360" w:lineRule="auto"/>
              <w:rPr>
                <w:rFonts w:ascii="仿宋" w:hAnsi="仿宋" w:eastAsia="仿宋" w:cs="仿宋"/>
                <w:color w:val="auto"/>
                <w:szCs w:val="21"/>
              </w:rPr>
            </w:pPr>
            <w:r>
              <w:rPr>
                <w:rFonts w:hint="eastAsia" w:ascii="仿宋" w:hAnsi="仿宋" w:eastAsia="仿宋" w:cs="仿宋"/>
                <w:color w:val="auto"/>
                <w:szCs w:val="21"/>
              </w:rPr>
              <w:t>与营业执照一致</w:t>
            </w:r>
          </w:p>
        </w:tc>
      </w:tr>
      <w:tr w14:paraId="268F5833">
        <w:trPr>
          <w:trHeight w:val="23" w:hRule="atLeast"/>
        </w:trPr>
        <w:tc>
          <w:tcPr>
            <w:tcW w:w="1345" w:type="dxa"/>
            <w:gridSpan w:val="2"/>
            <w:vMerge w:val="continue"/>
            <w:vAlign w:val="center"/>
          </w:tcPr>
          <w:p w14:paraId="048E3721">
            <w:pPr>
              <w:spacing w:line="360" w:lineRule="auto"/>
              <w:rPr>
                <w:rFonts w:ascii="仿宋" w:hAnsi="仿宋" w:eastAsia="仿宋" w:cs="仿宋"/>
                <w:color w:val="auto"/>
                <w:szCs w:val="21"/>
              </w:rPr>
            </w:pPr>
          </w:p>
        </w:tc>
        <w:tc>
          <w:tcPr>
            <w:tcW w:w="1563" w:type="dxa"/>
            <w:vAlign w:val="center"/>
          </w:tcPr>
          <w:p w14:paraId="7A3B984E">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法定代表人身份证明书</w:t>
            </w:r>
          </w:p>
        </w:tc>
        <w:tc>
          <w:tcPr>
            <w:tcW w:w="7012" w:type="dxa"/>
            <w:vAlign w:val="center"/>
          </w:tcPr>
          <w:p w14:paraId="666FD4BC">
            <w:pPr>
              <w:spacing w:line="360" w:lineRule="auto"/>
              <w:rPr>
                <w:rFonts w:ascii="仿宋" w:hAnsi="仿宋" w:eastAsia="仿宋" w:cs="仿宋"/>
                <w:color w:val="auto"/>
                <w:szCs w:val="21"/>
              </w:rPr>
            </w:pPr>
            <w:r>
              <w:rPr>
                <w:rFonts w:hint="eastAsia" w:ascii="仿宋" w:hAnsi="仿宋" w:eastAsia="仿宋" w:cs="仿宋"/>
                <w:color w:val="auto"/>
                <w:szCs w:val="21"/>
              </w:rPr>
              <w:t>符合比选文件规定格式及内容，</w:t>
            </w:r>
            <w:r>
              <w:rPr>
                <w:rFonts w:hint="eastAsia" w:ascii="仿宋" w:hAnsi="仿宋" w:eastAsia="仿宋" w:cs="仿宋"/>
                <w:color w:val="auto"/>
                <w:szCs w:val="21"/>
                <w:lang w:eastAsia="zh-CN"/>
              </w:rPr>
              <w:t>并加</w:t>
            </w:r>
            <w:r>
              <w:rPr>
                <w:rFonts w:hint="eastAsia" w:ascii="仿宋" w:hAnsi="仿宋" w:eastAsia="仿宋" w:cs="仿宋"/>
                <w:color w:val="auto"/>
                <w:szCs w:val="21"/>
              </w:rPr>
              <w:t>盖单位公章；响应文件正本中法定代表人身份证明书为原件</w:t>
            </w:r>
          </w:p>
        </w:tc>
      </w:tr>
      <w:tr w14:paraId="2DAEB9B4">
        <w:trPr>
          <w:trHeight w:val="639" w:hRule="atLeast"/>
        </w:trPr>
        <w:tc>
          <w:tcPr>
            <w:tcW w:w="1345" w:type="dxa"/>
            <w:gridSpan w:val="2"/>
            <w:vMerge w:val="continue"/>
            <w:vAlign w:val="center"/>
          </w:tcPr>
          <w:p w14:paraId="5C8D0034">
            <w:pPr>
              <w:spacing w:line="360" w:lineRule="auto"/>
              <w:rPr>
                <w:rFonts w:ascii="仿宋" w:hAnsi="仿宋" w:eastAsia="仿宋" w:cs="仿宋"/>
                <w:color w:val="auto"/>
                <w:szCs w:val="21"/>
              </w:rPr>
            </w:pPr>
          </w:p>
        </w:tc>
        <w:tc>
          <w:tcPr>
            <w:tcW w:w="1563" w:type="dxa"/>
            <w:vAlign w:val="center"/>
          </w:tcPr>
          <w:p w14:paraId="4186DD40">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法定代表人授权委托书</w:t>
            </w:r>
          </w:p>
        </w:tc>
        <w:tc>
          <w:tcPr>
            <w:tcW w:w="7012" w:type="dxa"/>
            <w:vAlign w:val="center"/>
          </w:tcPr>
          <w:p w14:paraId="33CB100E">
            <w:pPr>
              <w:spacing w:line="360" w:lineRule="auto"/>
              <w:rPr>
                <w:rFonts w:ascii="仿宋" w:hAnsi="仿宋" w:eastAsia="仿宋" w:cs="仿宋"/>
                <w:color w:val="auto"/>
                <w:szCs w:val="21"/>
              </w:rPr>
            </w:pPr>
            <w:r>
              <w:rPr>
                <w:rFonts w:hint="eastAsia" w:ascii="仿宋" w:hAnsi="仿宋" w:eastAsia="仿宋" w:cs="仿宋"/>
                <w:color w:val="auto"/>
                <w:szCs w:val="21"/>
              </w:rPr>
              <w:t>有法定代表人及其委托代理人签字或盖章，并盖单位公章；符合比选文件规定格式及内容；响应文件正本中法定代表人授权委托书为原件</w:t>
            </w:r>
          </w:p>
        </w:tc>
      </w:tr>
      <w:tr w14:paraId="30576AB1">
        <w:trPr>
          <w:trHeight w:val="23" w:hRule="atLeast"/>
        </w:trPr>
        <w:tc>
          <w:tcPr>
            <w:tcW w:w="1345" w:type="dxa"/>
            <w:gridSpan w:val="2"/>
            <w:vMerge w:val="continue"/>
            <w:vAlign w:val="center"/>
          </w:tcPr>
          <w:p w14:paraId="7C79E8E0">
            <w:pPr>
              <w:spacing w:line="360" w:lineRule="auto"/>
              <w:rPr>
                <w:rFonts w:ascii="仿宋" w:hAnsi="仿宋" w:eastAsia="仿宋" w:cs="仿宋"/>
                <w:color w:val="auto"/>
                <w:szCs w:val="21"/>
              </w:rPr>
            </w:pPr>
          </w:p>
        </w:tc>
        <w:tc>
          <w:tcPr>
            <w:tcW w:w="1563" w:type="dxa"/>
            <w:vAlign w:val="center"/>
          </w:tcPr>
          <w:p w14:paraId="77610F6F">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响应文件签署、盖章</w:t>
            </w:r>
          </w:p>
        </w:tc>
        <w:tc>
          <w:tcPr>
            <w:tcW w:w="7012" w:type="dxa"/>
            <w:vAlign w:val="center"/>
          </w:tcPr>
          <w:p w14:paraId="6FFCA5B1">
            <w:pPr>
              <w:spacing w:line="360" w:lineRule="auto"/>
              <w:rPr>
                <w:rFonts w:ascii="仿宋" w:hAnsi="仿宋" w:eastAsia="仿宋" w:cs="仿宋"/>
                <w:color w:val="auto"/>
                <w:szCs w:val="21"/>
              </w:rPr>
            </w:pPr>
            <w:r>
              <w:rPr>
                <w:rFonts w:hint="eastAsia" w:ascii="仿宋" w:hAnsi="仿宋" w:eastAsia="仿宋" w:cs="仿宋"/>
                <w:color w:val="auto"/>
                <w:szCs w:val="21"/>
              </w:rPr>
              <w:t>响应文件按比选文件要求签署、盖章的</w:t>
            </w:r>
          </w:p>
        </w:tc>
      </w:tr>
      <w:tr w14:paraId="1450A58F">
        <w:trPr>
          <w:trHeight w:val="23" w:hRule="atLeast"/>
        </w:trPr>
        <w:tc>
          <w:tcPr>
            <w:tcW w:w="1345" w:type="dxa"/>
            <w:gridSpan w:val="2"/>
            <w:vMerge w:val="continue"/>
            <w:vAlign w:val="center"/>
          </w:tcPr>
          <w:p w14:paraId="56AB2915">
            <w:pPr>
              <w:spacing w:line="360" w:lineRule="auto"/>
              <w:rPr>
                <w:rFonts w:ascii="仿宋" w:hAnsi="仿宋" w:eastAsia="仿宋" w:cs="仿宋"/>
                <w:color w:val="auto"/>
                <w:szCs w:val="21"/>
              </w:rPr>
            </w:pPr>
          </w:p>
        </w:tc>
        <w:tc>
          <w:tcPr>
            <w:tcW w:w="1563" w:type="dxa"/>
            <w:vAlign w:val="center"/>
          </w:tcPr>
          <w:p w14:paraId="5E881A05">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比选有效期</w:t>
            </w:r>
          </w:p>
        </w:tc>
        <w:tc>
          <w:tcPr>
            <w:tcW w:w="7012" w:type="dxa"/>
            <w:vAlign w:val="center"/>
          </w:tcPr>
          <w:p w14:paraId="6942F80D">
            <w:pPr>
              <w:spacing w:line="360" w:lineRule="auto"/>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0C007F4C">
        <w:trPr>
          <w:trHeight w:val="23" w:hRule="atLeast"/>
        </w:trPr>
        <w:tc>
          <w:tcPr>
            <w:tcW w:w="1345" w:type="dxa"/>
            <w:gridSpan w:val="2"/>
            <w:vMerge w:val="continue"/>
            <w:vAlign w:val="center"/>
          </w:tcPr>
          <w:p w14:paraId="25FD698F">
            <w:pPr>
              <w:spacing w:line="360" w:lineRule="auto"/>
              <w:rPr>
                <w:rFonts w:ascii="仿宋" w:hAnsi="仿宋" w:eastAsia="仿宋" w:cs="仿宋"/>
                <w:color w:val="auto"/>
                <w:szCs w:val="21"/>
              </w:rPr>
            </w:pPr>
          </w:p>
        </w:tc>
        <w:tc>
          <w:tcPr>
            <w:tcW w:w="1563" w:type="dxa"/>
            <w:vAlign w:val="center"/>
          </w:tcPr>
          <w:p w14:paraId="24CD8E6A">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比选报价</w:t>
            </w:r>
          </w:p>
        </w:tc>
        <w:tc>
          <w:tcPr>
            <w:tcW w:w="7012" w:type="dxa"/>
            <w:vAlign w:val="center"/>
          </w:tcPr>
          <w:p w14:paraId="325E1FEC">
            <w:pPr>
              <w:spacing w:line="360" w:lineRule="auto"/>
              <w:rPr>
                <w:rFonts w:ascii="仿宋" w:hAnsi="仿宋" w:eastAsia="仿宋" w:cs="仿宋"/>
                <w:color w:val="auto"/>
                <w:szCs w:val="21"/>
              </w:rPr>
            </w:pPr>
            <w:r>
              <w:rPr>
                <w:rFonts w:hint="eastAsia" w:ascii="仿宋" w:hAnsi="仿宋" w:eastAsia="仿宋" w:cs="仿宋"/>
                <w:color w:val="auto"/>
                <w:szCs w:val="21"/>
              </w:rPr>
              <w:t>报价均未</w:t>
            </w:r>
            <w:r>
              <w:rPr>
                <w:rFonts w:hint="eastAsia" w:ascii="仿宋" w:hAnsi="仿宋" w:eastAsia="仿宋" w:cs="仿宋"/>
                <w:color w:val="auto"/>
                <w:szCs w:val="21"/>
                <w:lang w:eastAsia="zh-CN"/>
              </w:rPr>
              <w:t>超过</w:t>
            </w:r>
            <w:r>
              <w:rPr>
                <w:rFonts w:hint="eastAsia" w:ascii="仿宋" w:hAnsi="仿宋" w:eastAsia="仿宋" w:cs="仿宋"/>
                <w:color w:val="auto"/>
                <w:szCs w:val="21"/>
              </w:rPr>
              <w:t>预算及最高限价</w:t>
            </w:r>
          </w:p>
        </w:tc>
      </w:tr>
      <w:tr w14:paraId="73FB43BF">
        <w:trPr>
          <w:trHeight w:val="23" w:hRule="atLeast"/>
        </w:trPr>
        <w:tc>
          <w:tcPr>
            <w:tcW w:w="1345" w:type="dxa"/>
            <w:gridSpan w:val="2"/>
            <w:vMerge w:val="continue"/>
            <w:vAlign w:val="center"/>
          </w:tcPr>
          <w:p w14:paraId="3663811B">
            <w:pPr>
              <w:spacing w:line="360" w:lineRule="auto"/>
              <w:rPr>
                <w:rFonts w:ascii="仿宋" w:hAnsi="仿宋" w:eastAsia="仿宋" w:cs="仿宋"/>
                <w:color w:val="auto"/>
                <w:szCs w:val="21"/>
              </w:rPr>
            </w:pPr>
          </w:p>
        </w:tc>
        <w:tc>
          <w:tcPr>
            <w:tcW w:w="1563" w:type="dxa"/>
            <w:vAlign w:val="center"/>
          </w:tcPr>
          <w:p w14:paraId="2CA01C65">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响应文件的编制</w:t>
            </w:r>
          </w:p>
        </w:tc>
        <w:tc>
          <w:tcPr>
            <w:tcW w:w="7012" w:type="dxa"/>
            <w:vAlign w:val="center"/>
          </w:tcPr>
          <w:p w14:paraId="2FC61048">
            <w:pPr>
              <w:spacing w:line="360" w:lineRule="auto"/>
              <w:rPr>
                <w:rFonts w:ascii="仿宋" w:hAnsi="仿宋" w:eastAsia="仿宋" w:cs="仿宋"/>
                <w:color w:val="auto"/>
                <w:szCs w:val="21"/>
              </w:rPr>
            </w:pPr>
            <w:r>
              <w:rPr>
                <w:rFonts w:hint="eastAsia" w:ascii="仿宋" w:hAnsi="仿宋" w:eastAsia="仿宋" w:cs="仿宋"/>
                <w:color w:val="auto"/>
                <w:szCs w:val="21"/>
              </w:rPr>
              <w:t>符合比选文件格式及资料提供的要求</w:t>
            </w:r>
          </w:p>
        </w:tc>
      </w:tr>
      <w:tr w14:paraId="143CC1E9">
        <w:trPr>
          <w:trHeight w:val="23" w:hRule="atLeast"/>
        </w:trPr>
        <w:tc>
          <w:tcPr>
            <w:tcW w:w="1345" w:type="dxa"/>
            <w:gridSpan w:val="2"/>
            <w:vMerge w:val="continue"/>
            <w:vAlign w:val="center"/>
          </w:tcPr>
          <w:p w14:paraId="64381A04">
            <w:pPr>
              <w:spacing w:line="360" w:lineRule="auto"/>
              <w:rPr>
                <w:rFonts w:ascii="仿宋" w:hAnsi="仿宋" w:eastAsia="仿宋" w:cs="仿宋"/>
                <w:color w:val="auto"/>
                <w:szCs w:val="21"/>
              </w:rPr>
            </w:pPr>
          </w:p>
        </w:tc>
        <w:tc>
          <w:tcPr>
            <w:tcW w:w="1563" w:type="dxa"/>
            <w:vAlign w:val="center"/>
          </w:tcPr>
          <w:p w14:paraId="44132B31">
            <w:pPr>
              <w:spacing w:line="360" w:lineRule="auto"/>
              <w:jc w:val="center"/>
              <w:rPr>
                <w:rFonts w:ascii="仿宋" w:hAnsi="仿宋" w:eastAsia="仿宋" w:cs="仿宋"/>
                <w:color w:val="auto"/>
                <w:szCs w:val="21"/>
              </w:rPr>
            </w:pPr>
            <w:r>
              <w:rPr>
                <w:rFonts w:hint="eastAsia" w:ascii="仿宋" w:hAnsi="仿宋" w:eastAsia="仿宋" w:cs="仿宋"/>
                <w:color w:val="auto"/>
                <w:szCs w:val="21"/>
                <w:lang w:eastAsia="zh-CN"/>
              </w:rPr>
              <w:t>其他</w:t>
            </w:r>
            <w:r>
              <w:rPr>
                <w:rFonts w:hint="eastAsia" w:ascii="仿宋" w:hAnsi="仿宋" w:eastAsia="仿宋" w:cs="仿宋"/>
                <w:color w:val="auto"/>
                <w:szCs w:val="21"/>
              </w:rPr>
              <w:t>实质性要求</w:t>
            </w:r>
          </w:p>
        </w:tc>
        <w:tc>
          <w:tcPr>
            <w:tcW w:w="7012" w:type="dxa"/>
            <w:vAlign w:val="center"/>
          </w:tcPr>
          <w:p w14:paraId="558BB994">
            <w:pPr>
              <w:numPr>
                <w:ilvl w:val="0"/>
                <w:numId w:val="24"/>
              </w:numPr>
              <w:spacing w:line="360" w:lineRule="auto"/>
              <w:rPr>
                <w:rFonts w:ascii="仿宋" w:hAnsi="仿宋" w:eastAsia="仿宋" w:cs="仿宋"/>
                <w:color w:val="auto"/>
                <w:szCs w:val="21"/>
              </w:rPr>
            </w:pPr>
            <w:r>
              <w:rPr>
                <w:rFonts w:hint="eastAsia" w:ascii="仿宋" w:hAnsi="仿宋" w:eastAsia="仿宋" w:cs="仿宋"/>
                <w:b/>
                <w:bCs/>
                <w:color w:val="auto"/>
                <w:szCs w:val="21"/>
              </w:rPr>
              <w:t>实质性响应比选文件中★号条款；</w:t>
            </w:r>
          </w:p>
          <w:p w14:paraId="166BB6DE">
            <w:pPr>
              <w:spacing w:line="360" w:lineRule="auto"/>
              <w:rPr>
                <w:rFonts w:ascii="仿宋" w:hAnsi="仿宋" w:eastAsia="仿宋" w:cs="仿宋"/>
                <w:color w:val="auto"/>
                <w:szCs w:val="21"/>
              </w:rPr>
            </w:pPr>
            <w:r>
              <w:rPr>
                <w:rFonts w:hint="eastAsia" w:ascii="仿宋" w:hAnsi="仿宋" w:eastAsia="仿宋" w:cs="仿宋"/>
                <w:color w:val="auto"/>
                <w:szCs w:val="21"/>
              </w:rPr>
              <w:t>（2）响应文件未含有招标人不能接受的附加条件；</w:t>
            </w:r>
          </w:p>
          <w:p w14:paraId="697F3E57">
            <w:pPr>
              <w:spacing w:line="360" w:lineRule="auto"/>
              <w:rPr>
                <w:rFonts w:ascii="仿宋" w:hAnsi="仿宋" w:eastAsia="仿宋" w:cs="仿宋"/>
                <w:color w:val="auto"/>
                <w:szCs w:val="21"/>
              </w:rPr>
            </w:pPr>
            <w:r>
              <w:rPr>
                <w:rFonts w:hint="eastAsia" w:ascii="仿宋" w:hAnsi="仿宋" w:eastAsia="仿宋" w:cs="仿宋"/>
                <w:color w:val="auto"/>
                <w:szCs w:val="21"/>
              </w:rPr>
              <w:t>（3）无法律、法规和比选文件规定的其他无效情形。</w:t>
            </w:r>
          </w:p>
        </w:tc>
      </w:tr>
      <w:tr w14:paraId="4343643F">
        <w:trPr>
          <w:trHeight w:val="23" w:hRule="atLeast"/>
        </w:trPr>
        <w:tc>
          <w:tcPr>
            <w:tcW w:w="1345" w:type="dxa"/>
            <w:gridSpan w:val="2"/>
            <w:vMerge w:val="continue"/>
            <w:vAlign w:val="center"/>
          </w:tcPr>
          <w:p w14:paraId="23C4014F">
            <w:pPr>
              <w:spacing w:line="360" w:lineRule="auto"/>
              <w:rPr>
                <w:rFonts w:ascii="仿宋" w:hAnsi="仿宋" w:eastAsia="仿宋" w:cs="仿宋"/>
                <w:color w:val="auto"/>
                <w:szCs w:val="21"/>
              </w:rPr>
            </w:pPr>
          </w:p>
        </w:tc>
        <w:tc>
          <w:tcPr>
            <w:tcW w:w="1563" w:type="dxa"/>
            <w:vAlign w:val="center"/>
          </w:tcPr>
          <w:p w14:paraId="2B788C45">
            <w:pPr>
              <w:spacing w:line="360" w:lineRule="auto"/>
              <w:jc w:val="center"/>
              <w:rPr>
                <w:rFonts w:ascii="仿宋" w:hAnsi="仿宋" w:eastAsia="仿宋" w:cs="仿宋"/>
                <w:color w:val="auto"/>
                <w:szCs w:val="21"/>
              </w:rPr>
            </w:pPr>
            <w:r>
              <w:rPr>
                <w:rFonts w:hint="eastAsia" w:ascii="仿宋" w:hAnsi="仿宋" w:eastAsia="仿宋" w:cs="仿宋"/>
                <w:color w:val="auto"/>
                <w:szCs w:val="21"/>
              </w:rPr>
              <w:t>无串通投标情形</w:t>
            </w:r>
          </w:p>
          <w:p w14:paraId="45B9C507">
            <w:pPr>
              <w:spacing w:line="360" w:lineRule="auto"/>
              <w:jc w:val="center"/>
              <w:rPr>
                <w:rFonts w:ascii="仿宋" w:hAnsi="仿宋" w:eastAsia="仿宋" w:cs="仿宋"/>
                <w:color w:val="auto"/>
                <w:szCs w:val="21"/>
              </w:rPr>
            </w:pPr>
          </w:p>
        </w:tc>
        <w:tc>
          <w:tcPr>
            <w:tcW w:w="7012" w:type="dxa"/>
            <w:vAlign w:val="center"/>
          </w:tcPr>
          <w:p w14:paraId="422A72EB">
            <w:pPr>
              <w:spacing w:line="360" w:lineRule="auto"/>
              <w:rPr>
                <w:rFonts w:ascii="仿宋" w:hAnsi="仿宋" w:eastAsia="仿宋" w:cs="仿宋"/>
                <w:color w:val="auto"/>
                <w:szCs w:val="21"/>
              </w:rPr>
            </w:pPr>
            <w:r>
              <w:rPr>
                <w:rFonts w:hint="eastAsia" w:ascii="仿宋" w:hAnsi="仿宋" w:eastAsia="仿宋" w:cs="仿宋"/>
                <w:color w:val="auto"/>
                <w:szCs w:val="21"/>
                <w:lang w:eastAsia="zh-CN"/>
              </w:rPr>
              <w:t>（1）</w:t>
            </w:r>
            <w:r>
              <w:rPr>
                <w:rFonts w:hint="eastAsia" w:ascii="仿宋" w:hAnsi="仿宋" w:eastAsia="仿宋" w:cs="仿宋"/>
                <w:color w:val="auto"/>
                <w:szCs w:val="21"/>
              </w:rPr>
              <w:t>不同投标人的响应文件由同一单位或者个人编制；</w:t>
            </w:r>
          </w:p>
          <w:p w14:paraId="2295F095">
            <w:pPr>
              <w:spacing w:line="360" w:lineRule="auto"/>
              <w:rPr>
                <w:rFonts w:ascii="仿宋" w:hAnsi="仿宋" w:eastAsia="仿宋" w:cs="仿宋"/>
                <w:color w:val="auto"/>
                <w:szCs w:val="21"/>
              </w:rPr>
            </w:pPr>
            <w:r>
              <w:rPr>
                <w:rFonts w:hint="eastAsia" w:ascii="仿宋" w:hAnsi="仿宋" w:eastAsia="仿宋" w:cs="仿宋"/>
                <w:color w:val="auto"/>
                <w:szCs w:val="21"/>
                <w:lang w:eastAsia="zh-CN"/>
              </w:rPr>
              <w:t>（2）</w:t>
            </w:r>
            <w:r>
              <w:rPr>
                <w:rFonts w:hint="eastAsia" w:ascii="仿宋" w:hAnsi="仿宋" w:eastAsia="仿宋" w:cs="仿宋"/>
                <w:color w:val="auto"/>
                <w:szCs w:val="21"/>
              </w:rPr>
              <w:t>不同投标人委托同一单位或者个人办理投标事宜；</w:t>
            </w:r>
          </w:p>
          <w:p w14:paraId="6C92A51F">
            <w:pPr>
              <w:spacing w:line="360" w:lineRule="auto"/>
              <w:rPr>
                <w:rFonts w:ascii="仿宋" w:hAnsi="仿宋" w:eastAsia="仿宋" w:cs="仿宋"/>
                <w:color w:val="auto"/>
                <w:szCs w:val="21"/>
              </w:rPr>
            </w:pPr>
            <w:r>
              <w:rPr>
                <w:rFonts w:hint="eastAsia" w:ascii="仿宋" w:hAnsi="仿宋" w:eastAsia="仿宋" w:cs="仿宋"/>
                <w:color w:val="auto"/>
                <w:szCs w:val="21"/>
                <w:lang w:eastAsia="zh-CN"/>
              </w:rPr>
              <w:t>（3）</w:t>
            </w:r>
            <w:r>
              <w:rPr>
                <w:rFonts w:hint="eastAsia" w:ascii="仿宋" w:hAnsi="仿宋" w:eastAsia="仿宋" w:cs="仿宋"/>
                <w:color w:val="auto"/>
                <w:szCs w:val="21"/>
              </w:rPr>
              <w:t>不同投标人的响应文件载明的项目管理成员或者联系人员为同一人；</w:t>
            </w:r>
          </w:p>
          <w:p w14:paraId="4BB50015">
            <w:pPr>
              <w:spacing w:line="360" w:lineRule="auto"/>
              <w:rPr>
                <w:rFonts w:ascii="仿宋" w:hAnsi="仿宋" w:eastAsia="仿宋" w:cs="仿宋"/>
                <w:color w:val="auto"/>
                <w:szCs w:val="21"/>
              </w:rPr>
            </w:pPr>
            <w:r>
              <w:rPr>
                <w:rFonts w:hint="eastAsia" w:ascii="仿宋" w:hAnsi="仿宋" w:eastAsia="仿宋" w:cs="仿宋"/>
                <w:color w:val="auto"/>
                <w:szCs w:val="21"/>
                <w:lang w:eastAsia="zh-CN"/>
              </w:rPr>
              <w:t>（4）</w:t>
            </w:r>
            <w:r>
              <w:rPr>
                <w:rFonts w:hint="eastAsia" w:ascii="仿宋" w:hAnsi="仿宋" w:eastAsia="仿宋" w:cs="仿宋"/>
                <w:color w:val="auto"/>
                <w:szCs w:val="21"/>
              </w:rPr>
              <w:t>不同投标人的响应文件异常一致或者报价呈规律性差异；</w:t>
            </w:r>
          </w:p>
          <w:p w14:paraId="56FD1D47">
            <w:pPr>
              <w:spacing w:line="360" w:lineRule="auto"/>
              <w:rPr>
                <w:rFonts w:ascii="仿宋" w:hAnsi="仿宋" w:eastAsia="仿宋" w:cs="仿宋"/>
                <w:color w:val="auto"/>
                <w:szCs w:val="21"/>
              </w:rPr>
            </w:pPr>
            <w:r>
              <w:rPr>
                <w:rFonts w:hint="eastAsia" w:ascii="仿宋" w:hAnsi="仿宋" w:eastAsia="仿宋" w:cs="仿宋"/>
                <w:color w:val="auto"/>
                <w:szCs w:val="21"/>
                <w:lang w:eastAsia="zh-CN"/>
              </w:rPr>
              <w:t>（5）</w:t>
            </w:r>
            <w:r>
              <w:rPr>
                <w:rFonts w:hint="eastAsia" w:ascii="仿宋" w:hAnsi="仿宋" w:eastAsia="仿宋" w:cs="仿宋"/>
                <w:color w:val="auto"/>
                <w:szCs w:val="21"/>
              </w:rPr>
              <w:t>不同投标人的响应文件相互混装；</w:t>
            </w:r>
          </w:p>
          <w:p w14:paraId="7C68DF86">
            <w:pPr>
              <w:spacing w:line="360" w:lineRule="auto"/>
              <w:rPr>
                <w:rFonts w:ascii="仿宋" w:hAnsi="仿宋" w:eastAsia="仿宋" w:cs="仿宋"/>
                <w:color w:val="auto"/>
                <w:szCs w:val="21"/>
              </w:rPr>
            </w:pPr>
            <w:r>
              <w:rPr>
                <w:rFonts w:hint="eastAsia" w:ascii="仿宋" w:hAnsi="仿宋" w:eastAsia="仿宋" w:cs="仿宋"/>
                <w:color w:val="auto"/>
                <w:szCs w:val="21"/>
                <w:lang w:eastAsia="zh-CN"/>
              </w:rPr>
              <w:t>（6）</w:t>
            </w:r>
            <w:r>
              <w:rPr>
                <w:rFonts w:hint="eastAsia" w:ascii="仿宋" w:hAnsi="仿宋" w:eastAsia="仿宋" w:cs="仿宋"/>
                <w:color w:val="auto"/>
                <w:szCs w:val="21"/>
              </w:rPr>
              <w:t>不同投标人的比选保证金从同一单位或者个人的账户转出。</w:t>
            </w:r>
          </w:p>
        </w:tc>
      </w:tr>
      <w:tr w14:paraId="6B9C3F99">
        <w:tblPrEx>
          <w:tblCellMar>
            <w:top w:w="0" w:type="dxa"/>
            <w:left w:w="108" w:type="dxa"/>
            <w:bottom w:w="0" w:type="dxa"/>
            <w:right w:w="108" w:type="dxa"/>
          </w:tblCellMar>
        </w:tblPrEx>
        <w:trPr>
          <w:cantSplit/>
          <w:trHeight w:val="23" w:hRule="atLeast"/>
        </w:trPr>
        <w:tc>
          <w:tcPr>
            <w:tcW w:w="1345" w:type="dxa"/>
            <w:gridSpan w:val="2"/>
            <w:vMerge w:val="restart"/>
            <w:vAlign w:val="center"/>
          </w:tcPr>
          <w:p w14:paraId="163C2930">
            <w:pPr>
              <w:spacing w:line="360" w:lineRule="auto"/>
              <w:jc w:val="center"/>
              <w:rPr>
                <w:rFonts w:ascii="仿宋" w:hAnsi="仿宋" w:eastAsia="仿宋" w:cs="仿宋"/>
                <w:color w:val="auto"/>
                <w:szCs w:val="21"/>
              </w:rPr>
            </w:pPr>
            <w:r>
              <w:rPr>
                <w:rFonts w:hint="eastAsia" w:ascii="仿宋" w:hAnsi="仿宋" w:eastAsia="仿宋" w:cs="仿宋"/>
                <w:color w:val="auto"/>
                <w:szCs w:val="21"/>
              </w:rPr>
              <w:t>2.2.1</w:t>
            </w:r>
          </w:p>
        </w:tc>
        <w:tc>
          <w:tcPr>
            <w:tcW w:w="1563" w:type="dxa"/>
            <w:vMerge w:val="restart"/>
            <w:vAlign w:val="center"/>
          </w:tcPr>
          <w:p w14:paraId="7D86CF11">
            <w:pPr>
              <w:spacing w:line="360" w:lineRule="auto"/>
              <w:rPr>
                <w:rFonts w:ascii="仿宋" w:hAnsi="仿宋" w:eastAsia="仿宋" w:cs="仿宋"/>
                <w:color w:val="auto"/>
                <w:szCs w:val="21"/>
              </w:rPr>
            </w:pPr>
            <w:r>
              <w:rPr>
                <w:rFonts w:hint="eastAsia" w:ascii="仿宋" w:hAnsi="仿宋" w:eastAsia="仿宋" w:cs="仿宋"/>
                <w:color w:val="auto"/>
                <w:szCs w:val="21"/>
              </w:rPr>
              <w:t>分值构成</w:t>
            </w:r>
          </w:p>
          <w:p w14:paraId="1CECE4C4">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（满分100分）</w:t>
            </w:r>
          </w:p>
        </w:tc>
        <w:tc>
          <w:tcPr>
            <w:tcW w:w="7012" w:type="dxa"/>
            <w:vAlign w:val="center"/>
          </w:tcPr>
          <w:p w14:paraId="5C37AF99">
            <w:pPr>
              <w:spacing w:line="360" w:lineRule="auto"/>
              <w:rPr>
                <w:rFonts w:ascii="仿宋" w:hAnsi="仿宋" w:eastAsia="仿宋" w:cs="仿宋"/>
                <w:color w:val="auto"/>
                <w:szCs w:val="21"/>
              </w:rPr>
            </w:pPr>
            <w:r>
              <w:rPr>
                <w:rFonts w:hint="eastAsia" w:ascii="仿宋" w:hAnsi="仿宋" w:eastAsia="仿宋" w:cs="仿宋"/>
                <w:color w:val="auto"/>
                <w:szCs w:val="21"/>
              </w:rPr>
              <w:t>投标人的评标总得分＝F1＋F2</w:t>
            </w:r>
          </w:p>
          <w:p w14:paraId="0AAB0523">
            <w:pPr>
              <w:spacing w:line="360" w:lineRule="auto"/>
              <w:rPr>
                <w:rFonts w:ascii="仿宋" w:hAnsi="仿宋" w:eastAsia="仿宋" w:cs="仿宋"/>
                <w:color w:val="auto"/>
                <w:szCs w:val="21"/>
              </w:rPr>
            </w:pPr>
            <w:r>
              <w:rPr>
                <w:rFonts w:hint="eastAsia" w:ascii="仿宋" w:hAnsi="仿宋" w:eastAsia="仿宋" w:cs="仿宋"/>
                <w:color w:val="auto"/>
                <w:szCs w:val="21"/>
              </w:rPr>
              <w:t>F1、F2分别为报价部分、技术部分、服务部分评分因素的汇总得分。</w:t>
            </w:r>
          </w:p>
        </w:tc>
      </w:tr>
      <w:tr w14:paraId="3B5B76ED">
        <w:tblPrEx>
          <w:tblCellMar>
            <w:top w:w="0" w:type="dxa"/>
            <w:left w:w="108" w:type="dxa"/>
            <w:bottom w:w="0" w:type="dxa"/>
            <w:right w:w="108" w:type="dxa"/>
          </w:tblCellMar>
        </w:tblPrEx>
        <w:trPr>
          <w:cantSplit/>
          <w:trHeight w:val="23" w:hRule="atLeast"/>
        </w:trPr>
        <w:tc>
          <w:tcPr>
            <w:tcW w:w="1345" w:type="dxa"/>
            <w:gridSpan w:val="2"/>
            <w:vMerge w:val="continue"/>
            <w:vAlign w:val="center"/>
          </w:tcPr>
          <w:p w14:paraId="6439CE0D">
            <w:pPr>
              <w:spacing w:line="360" w:lineRule="auto"/>
              <w:jc w:val="center"/>
              <w:rPr>
                <w:rFonts w:ascii="仿宋" w:hAnsi="仿宋" w:eastAsia="仿宋" w:cs="仿宋"/>
                <w:color w:val="auto"/>
                <w:szCs w:val="21"/>
              </w:rPr>
            </w:pPr>
          </w:p>
        </w:tc>
        <w:tc>
          <w:tcPr>
            <w:tcW w:w="1563" w:type="dxa"/>
            <w:vMerge w:val="continue"/>
            <w:vAlign w:val="center"/>
          </w:tcPr>
          <w:p w14:paraId="68FAEF84">
            <w:pPr>
              <w:spacing w:line="360" w:lineRule="auto"/>
              <w:jc w:val="center"/>
              <w:rPr>
                <w:rFonts w:ascii="仿宋" w:hAnsi="仿宋" w:eastAsia="仿宋" w:cs="仿宋"/>
                <w:color w:val="auto"/>
                <w:szCs w:val="21"/>
              </w:rPr>
            </w:pPr>
          </w:p>
        </w:tc>
        <w:tc>
          <w:tcPr>
            <w:tcW w:w="7012" w:type="dxa"/>
            <w:vAlign w:val="center"/>
          </w:tcPr>
          <w:p w14:paraId="1E4348FB">
            <w:pPr>
              <w:spacing w:line="360" w:lineRule="auto"/>
              <w:rPr>
                <w:rFonts w:ascii="仿宋" w:hAnsi="仿宋" w:eastAsia="仿宋" w:cs="仿宋"/>
                <w:color w:val="auto"/>
                <w:szCs w:val="21"/>
              </w:rPr>
            </w:pPr>
            <w:r>
              <w:rPr>
                <w:rFonts w:hint="eastAsia" w:ascii="仿宋" w:hAnsi="仿宋" w:eastAsia="仿宋" w:cs="仿宋"/>
                <w:color w:val="auto"/>
                <w:szCs w:val="21"/>
              </w:rPr>
              <w:t>报价部分F1</w:t>
            </w:r>
            <w:r>
              <w:rPr>
                <w:rFonts w:hint="eastAsia" w:ascii="仿宋" w:hAnsi="仿宋" w:eastAsia="仿宋" w:cs="仿宋"/>
                <w:color w:val="auto"/>
                <w:szCs w:val="21"/>
                <w:lang w:eastAsia="zh-CN"/>
              </w:rPr>
              <w:t>:</w:t>
            </w:r>
            <w:r>
              <w:rPr>
                <w:rFonts w:hint="eastAsia" w:ascii="仿宋" w:hAnsi="仿宋" w:eastAsia="仿宋" w:cs="仿宋"/>
                <w:color w:val="auto"/>
                <w:szCs w:val="21"/>
              </w:rPr>
              <w:t>30分；</w:t>
            </w:r>
          </w:p>
          <w:p w14:paraId="28926A8E">
            <w:pPr>
              <w:spacing w:line="360" w:lineRule="auto"/>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部分F2</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70</w:t>
            </w:r>
            <w:r>
              <w:rPr>
                <w:rFonts w:hint="eastAsia" w:ascii="仿宋" w:hAnsi="仿宋" w:eastAsia="仿宋" w:cs="仿宋"/>
                <w:color w:val="auto"/>
                <w:szCs w:val="21"/>
              </w:rPr>
              <w:t>分；</w:t>
            </w:r>
          </w:p>
        </w:tc>
      </w:tr>
      <w:tr w14:paraId="33F38030">
        <w:tblPrEx>
          <w:tblCellMar>
            <w:top w:w="0" w:type="dxa"/>
            <w:left w:w="108" w:type="dxa"/>
            <w:bottom w:w="0" w:type="dxa"/>
            <w:right w:w="108" w:type="dxa"/>
          </w:tblCellMar>
        </w:tblPrEx>
        <w:trPr>
          <w:trHeight w:val="1460" w:hRule="atLeast"/>
        </w:trPr>
        <w:tc>
          <w:tcPr>
            <w:tcW w:w="1345" w:type="dxa"/>
            <w:gridSpan w:val="2"/>
            <w:vAlign w:val="center"/>
          </w:tcPr>
          <w:p w14:paraId="65D543B7">
            <w:pPr>
              <w:spacing w:line="360" w:lineRule="auto"/>
              <w:jc w:val="center"/>
              <w:rPr>
                <w:rFonts w:ascii="仿宋" w:hAnsi="仿宋" w:eastAsia="仿宋" w:cs="仿宋"/>
                <w:color w:val="auto"/>
                <w:szCs w:val="21"/>
              </w:rPr>
            </w:pPr>
            <w:r>
              <w:rPr>
                <w:rFonts w:hint="eastAsia" w:ascii="仿宋" w:hAnsi="仿宋" w:eastAsia="仿宋" w:cs="仿宋"/>
                <w:color w:val="auto"/>
                <w:szCs w:val="21"/>
              </w:rPr>
              <w:t>2.2.2</w:t>
            </w:r>
          </w:p>
        </w:tc>
        <w:tc>
          <w:tcPr>
            <w:tcW w:w="1563" w:type="dxa"/>
            <w:vAlign w:val="center"/>
          </w:tcPr>
          <w:p w14:paraId="198455EB">
            <w:pPr>
              <w:spacing w:line="360" w:lineRule="auto"/>
              <w:jc w:val="center"/>
              <w:rPr>
                <w:rFonts w:ascii="仿宋" w:hAnsi="仿宋" w:eastAsia="仿宋" w:cs="仿宋"/>
                <w:color w:val="auto"/>
                <w:szCs w:val="21"/>
              </w:rPr>
            </w:pPr>
            <w:r>
              <w:rPr>
                <w:rFonts w:hint="eastAsia" w:ascii="仿宋" w:hAnsi="仿宋" w:eastAsia="仿宋" w:cs="仿宋"/>
                <w:color w:val="auto"/>
                <w:szCs w:val="21"/>
              </w:rPr>
              <w:t>报价部分F1评分标准</w:t>
            </w:r>
          </w:p>
        </w:tc>
        <w:tc>
          <w:tcPr>
            <w:tcW w:w="7012" w:type="dxa"/>
            <w:vAlign w:val="center"/>
          </w:tcPr>
          <w:p w14:paraId="785331BC">
            <w:pPr>
              <w:spacing w:line="360" w:lineRule="auto"/>
              <w:rPr>
                <w:rFonts w:ascii="仿宋" w:hAnsi="仿宋" w:eastAsia="仿宋" w:cs="仿宋"/>
                <w:color w:val="auto"/>
                <w:szCs w:val="21"/>
              </w:rPr>
            </w:pPr>
            <w:r>
              <w:rPr>
                <w:rFonts w:hint="eastAsia" w:ascii="仿宋" w:hAnsi="仿宋" w:eastAsia="仿宋" w:cs="仿宋"/>
                <w:color w:val="auto"/>
                <w:szCs w:val="21"/>
              </w:rPr>
              <w:t>满足比选文件要求且报价最低综合单价报价的投标人的价格为评标基准价，其价格分为满分。其他投标人的价格分统一按照下列公式计算：比选报价得分=（评标基准价/投标总价）×30</w:t>
            </w:r>
          </w:p>
        </w:tc>
      </w:tr>
      <w:tr w14:paraId="129D4F1E">
        <w:tblPrEx>
          <w:tblCellMar>
            <w:top w:w="0" w:type="dxa"/>
            <w:left w:w="23" w:type="dxa"/>
            <w:bottom w:w="0" w:type="dxa"/>
            <w:right w:w="23" w:type="dxa"/>
          </w:tblCellMar>
        </w:tblPrEx>
        <w:trPr>
          <w:trHeight w:val="23" w:hRule="atLeast"/>
        </w:trPr>
        <w:tc>
          <w:tcPr>
            <w:tcW w:w="1345" w:type="dxa"/>
            <w:gridSpan w:val="2"/>
            <w:vAlign w:val="center"/>
          </w:tcPr>
          <w:p w14:paraId="1B6EA9E0">
            <w:pPr>
              <w:pStyle w:val="44"/>
              <w:spacing w:line="360" w:lineRule="auto"/>
              <w:rPr>
                <w:rFonts w:ascii="仿宋" w:hAnsi="仿宋" w:eastAsia="仿宋" w:cs="仿宋"/>
                <w:color w:val="auto"/>
                <w:sz w:val="21"/>
                <w:szCs w:val="21"/>
              </w:rPr>
            </w:pPr>
            <w:bookmarkStart w:id="386" w:name="_Toc18510"/>
            <w:bookmarkEnd w:id="386"/>
            <w:r>
              <w:rPr>
                <w:rFonts w:hint="eastAsia" w:ascii="仿宋" w:hAnsi="仿宋" w:eastAsia="仿宋" w:cs="仿宋"/>
                <w:color w:val="auto"/>
                <w:sz w:val="21"/>
                <w:szCs w:val="21"/>
              </w:rPr>
              <w:t>条款号</w:t>
            </w:r>
          </w:p>
        </w:tc>
        <w:tc>
          <w:tcPr>
            <w:tcW w:w="1563" w:type="dxa"/>
            <w:vAlign w:val="center"/>
          </w:tcPr>
          <w:p w14:paraId="3BC69382">
            <w:pPr>
              <w:pStyle w:val="44"/>
              <w:spacing w:line="360" w:lineRule="auto"/>
              <w:rPr>
                <w:rFonts w:ascii="仿宋" w:hAnsi="仿宋" w:eastAsia="仿宋" w:cs="仿宋"/>
                <w:color w:val="auto"/>
                <w:sz w:val="21"/>
                <w:szCs w:val="21"/>
              </w:rPr>
            </w:pPr>
            <w:bookmarkStart w:id="387" w:name="_Toc11689"/>
            <w:bookmarkEnd w:id="387"/>
            <w:r>
              <w:rPr>
                <w:rFonts w:hint="eastAsia" w:ascii="仿宋" w:hAnsi="仿宋" w:eastAsia="仿宋" w:cs="仿宋"/>
                <w:color w:val="auto"/>
                <w:sz w:val="21"/>
                <w:szCs w:val="21"/>
              </w:rPr>
              <w:t>评分因素</w:t>
            </w:r>
          </w:p>
        </w:tc>
        <w:tc>
          <w:tcPr>
            <w:tcW w:w="7012" w:type="dxa"/>
            <w:vAlign w:val="center"/>
          </w:tcPr>
          <w:p w14:paraId="188DC598">
            <w:pPr>
              <w:pStyle w:val="44"/>
              <w:spacing w:line="360" w:lineRule="auto"/>
              <w:rPr>
                <w:rFonts w:ascii="仿宋" w:hAnsi="仿宋" w:eastAsia="仿宋" w:cs="仿宋"/>
                <w:color w:val="auto"/>
                <w:sz w:val="21"/>
                <w:szCs w:val="21"/>
              </w:rPr>
            </w:pPr>
            <w:bookmarkStart w:id="388" w:name="_Toc18949"/>
            <w:bookmarkEnd w:id="388"/>
            <w:r>
              <w:rPr>
                <w:rFonts w:hint="eastAsia" w:ascii="仿宋" w:hAnsi="仿宋" w:eastAsia="仿宋" w:cs="仿宋"/>
                <w:color w:val="auto"/>
                <w:sz w:val="21"/>
                <w:szCs w:val="21"/>
              </w:rPr>
              <w:t>评分标准</w:t>
            </w:r>
          </w:p>
        </w:tc>
      </w:tr>
      <w:tr w14:paraId="3BC8CED3">
        <w:tblPrEx>
          <w:tblCellMar>
            <w:top w:w="0" w:type="dxa"/>
            <w:left w:w="23" w:type="dxa"/>
            <w:bottom w:w="0" w:type="dxa"/>
            <w:right w:w="23" w:type="dxa"/>
          </w:tblCellMar>
        </w:tblPrEx>
        <w:trPr>
          <w:trHeight w:val="23" w:hRule="atLeast"/>
        </w:trPr>
        <w:tc>
          <w:tcPr>
            <w:tcW w:w="672" w:type="dxa"/>
            <w:vMerge w:val="restart"/>
            <w:vAlign w:val="center"/>
          </w:tcPr>
          <w:p w14:paraId="6843D959">
            <w:pPr>
              <w:pStyle w:val="44"/>
              <w:spacing w:line="360" w:lineRule="auto"/>
              <w:rPr>
                <w:rFonts w:ascii="仿宋" w:hAnsi="仿宋" w:eastAsia="仿宋" w:cs="仿宋"/>
                <w:color w:val="auto"/>
                <w:sz w:val="21"/>
                <w:szCs w:val="21"/>
              </w:rPr>
            </w:pPr>
            <w:r>
              <w:rPr>
                <w:rFonts w:hint="eastAsia" w:ascii="仿宋" w:hAnsi="仿宋" w:eastAsia="仿宋" w:cs="仿宋"/>
                <w:color w:val="auto"/>
                <w:sz w:val="21"/>
                <w:szCs w:val="21"/>
              </w:rPr>
              <w:t>2.2.3</w:t>
            </w:r>
          </w:p>
        </w:tc>
        <w:tc>
          <w:tcPr>
            <w:tcW w:w="673" w:type="dxa"/>
            <w:vMerge w:val="restart"/>
            <w:vAlign w:val="center"/>
          </w:tcPr>
          <w:p w14:paraId="5D7FB6F1">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w:t>
            </w:r>
          </w:p>
          <w:p w14:paraId="20953EC1">
            <w:pPr>
              <w:spacing w:line="360" w:lineRule="auto"/>
              <w:jc w:val="center"/>
              <w:rPr>
                <w:rFonts w:ascii="仿宋" w:hAnsi="仿宋" w:eastAsia="仿宋" w:cs="仿宋"/>
                <w:color w:val="auto"/>
                <w:szCs w:val="21"/>
              </w:rPr>
            </w:pPr>
            <w:r>
              <w:rPr>
                <w:rFonts w:hint="eastAsia" w:ascii="仿宋" w:hAnsi="仿宋" w:eastAsia="仿宋" w:cs="仿宋"/>
                <w:color w:val="auto"/>
                <w:szCs w:val="21"/>
              </w:rPr>
              <w:t>F2</w:t>
            </w:r>
          </w:p>
          <w:p w14:paraId="07B244DE">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1186BB49">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项目计划及保障措施（安装方案）</w:t>
            </w:r>
            <w:r>
              <w:rPr>
                <w:rFonts w:hint="eastAsia" w:ascii="仿宋" w:hAnsi="仿宋" w:eastAsia="仿宋" w:cs="仿宋"/>
                <w:color w:val="auto"/>
                <w:szCs w:val="21"/>
              </w:rPr>
              <w:t>（满分</w:t>
            </w:r>
            <w:r>
              <w:rPr>
                <w:rFonts w:hint="eastAsia" w:ascii="仿宋" w:hAnsi="仿宋" w:eastAsia="仿宋" w:cs="仿宋"/>
                <w:color w:val="auto"/>
                <w:szCs w:val="21"/>
                <w:lang w:val="en-US" w:eastAsia="zh-CN"/>
              </w:rPr>
              <w:t>25</w:t>
            </w:r>
            <w:r>
              <w:rPr>
                <w:rFonts w:hint="eastAsia" w:ascii="仿宋" w:hAnsi="仿宋" w:eastAsia="仿宋" w:cs="仿宋"/>
                <w:color w:val="auto"/>
                <w:szCs w:val="21"/>
              </w:rPr>
              <w:t>）</w:t>
            </w:r>
          </w:p>
        </w:tc>
        <w:tc>
          <w:tcPr>
            <w:tcW w:w="7012" w:type="dxa"/>
          </w:tcPr>
          <w:p w14:paraId="7227256D">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25</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w:t>
            </w:r>
            <w:r>
              <w:rPr>
                <w:rFonts w:hint="eastAsia" w:ascii="仿宋" w:hAnsi="仿宋" w:eastAsia="仿宋" w:cs="仿宋"/>
                <w:color w:val="auto"/>
                <w:szCs w:val="21"/>
                <w:lang w:eastAsia="zh-CN"/>
              </w:rPr>
              <w:t>，以及</w:t>
            </w:r>
            <w:r>
              <w:rPr>
                <w:rFonts w:hint="eastAsia" w:ascii="仿宋" w:hAnsi="仿宋" w:eastAsia="仿宋" w:cs="仿宋"/>
                <w:color w:val="auto"/>
                <w:szCs w:val="21"/>
              </w:rPr>
              <w:t>质量保证措施</w:t>
            </w:r>
            <w:r>
              <w:rPr>
                <w:rFonts w:hint="eastAsia" w:ascii="仿宋" w:hAnsi="仿宋" w:eastAsia="仿宋" w:cs="仿宋"/>
                <w:color w:val="auto"/>
                <w:szCs w:val="21"/>
                <w:lang w:eastAsia="zh-CN"/>
              </w:rPr>
              <w:t>，</w:t>
            </w:r>
            <w:r>
              <w:rPr>
                <w:rFonts w:hint="eastAsia" w:ascii="仿宋" w:hAnsi="仿宋" w:eastAsia="仿宋" w:cs="仿宋"/>
                <w:color w:val="auto"/>
                <w:szCs w:val="21"/>
              </w:rPr>
              <w:t>切合项目实际情况，</w:t>
            </w:r>
            <w:r>
              <w:rPr>
                <w:rFonts w:hint="eastAsia" w:ascii="仿宋" w:hAnsi="仿宋" w:eastAsia="仿宋" w:cs="仿宋"/>
                <w:color w:val="auto"/>
                <w:szCs w:val="21"/>
                <w:lang w:eastAsia="zh-CN"/>
              </w:rPr>
              <w:t>计划完整、可行，进度满足任务要求，计划及方案合理、完整，组织管理具体可行、进度安排详细，</w:t>
            </w:r>
            <w:r>
              <w:rPr>
                <w:rFonts w:hint="eastAsia" w:ascii="仿宋" w:hAnsi="仿宋" w:eastAsia="仿宋" w:cs="仿宋"/>
                <w:color w:val="auto"/>
                <w:szCs w:val="21"/>
              </w:rPr>
              <w:t>切合项目实际情况，</w:t>
            </w:r>
            <w:r>
              <w:rPr>
                <w:rFonts w:hint="eastAsia" w:ascii="仿宋" w:hAnsi="仿宋" w:eastAsia="仿宋" w:cs="仿宋"/>
                <w:color w:val="auto"/>
                <w:szCs w:val="21"/>
                <w:lang w:val="en-US" w:eastAsia="zh-CN"/>
              </w:rPr>
              <w:t>服务内容全面、优质，</w:t>
            </w:r>
            <w:r>
              <w:rPr>
                <w:rFonts w:hint="eastAsia" w:ascii="仿宋" w:hAnsi="仿宋" w:eastAsia="仿宋" w:cs="仿宋"/>
                <w:color w:val="auto"/>
                <w:szCs w:val="21"/>
              </w:rPr>
              <w:t>能</w:t>
            </w:r>
            <w:r>
              <w:rPr>
                <w:rFonts w:hint="eastAsia" w:ascii="仿宋" w:hAnsi="仿宋" w:eastAsia="仿宋" w:cs="仿宋"/>
                <w:color w:val="auto"/>
                <w:szCs w:val="21"/>
                <w:lang w:val="en-US" w:eastAsia="zh-CN"/>
              </w:rPr>
              <w:t>高质量</w:t>
            </w:r>
            <w:r>
              <w:rPr>
                <w:rFonts w:hint="eastAsia" w:ascii="仿宋" w:hAnsi="仿宋" w:eastAsia="仿宋" w:cs="仿宋"/>
                <w:color w:val="auto"/>
                <w:szCs w:val="21"/>
              </w:rPr>
              <w:t>满足采购方需求；</w:t>
            </w:r>
          </w:p>
          <w:p w14:paraId="4C99C7A6">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二</w:t>
            </w:r>
            <w:r>
              <w:rPr>
                <w:rFonts w:hint="eastAsia" w:ascii="仿宋" w:hAnsi="仿宋" w:eastAsia="仿宋" w:cs="仿宋"/>
                <w:color w:val="auto"/>
                <w:szCs w:val="21"/>
              </w:rPr>
              <w:t>档次（</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w:t>
            </w:r>
            <w:r>
              <w:rPr>
                <w:rFonts w:hint="eastAsia" w:ascii="仿宋" w:hAnsi="仿宋" w:eastAsia="仿宋" w:cs="仿宋"/>
                <w:color w:val="auto"/>
                <w:szCs w:val="21"/>
                <w:lang w:eastAsia="zh-CN"/>
              </w:rPr>
              <w:t>，以及</w:t>
            </w:r>
            <w:r>
              <w:rPr>
                <w:rFonts w:hint="eastAsia" w:ascii="仿宋" w:hAnsi="仿宋" w:eastAsia="仿宋" w:cs="仿宋"/>
                <w:color w:val="auto"/>
                <w:szCs w:val="21"/>
              </w:rPr>
              <w:t>质量保证措施</w:t>
            </w:r>
            <w:r>
              <w:rPr>
                <w:rFonts w:hint="eastAsia" w:ascii="仿宋" w:hAnsi="仿宋" w:eastAsia="仿宋" w:cs="仿宋"/>
                <w:color w:val="auto"/>
                <w:szCs w:val="21"/>
                <w:lang w:eastAsia="zh-CN"/>
              </w:rPr>
              <w:t>，</w:t>
            </w:r>
            <w:r>
              <w:rPr>
                <w:rFonts w:hint="eastAsia" w:ascii="仿宋" w:hAnsi="仿宋" w:eastAsia="仿宋" w:cs="仿宋"/>
                <w:color w:val="auto"/>
                <w:szCs w:val="21"/>
              </w:rPr>
              <w:t>切合项目实际情况，</w:t>
            </w:r>
            <w:r>
              <w:rPr>
                <w:rFonts w:hint="eastAsia" w:ascii="仿宋" w:hAnsi="仿宋" w:eastAsia="仿宋" w:cs="仿宋"/>
                <w:color w:val="auto"/>
                <w:szCs w:val="21"/>
                <w:lang w:eastAsia="zh-CN"/>
              </w:rPr>
              <w:t>计划完整、可行，进度满足任务要求，计划及方案合理、完整，组织管理具体可行、进度安排详细，</w:t>
            </w:r>
            <w:r>
              <w:rPr>
                <w:rFonts w:hint="eastAsia" w:ascii="仿宋" w:hAnsi="仿宋" w:eastAsia="仿宋" w:cs="仿宋"/>
                <w:color w:val="auto"/>
                <w:szCs w:val="21"/>
              </w:rPr>
              <w:t>能较</w:t>
            </w:r>
            <w:r>
              <w:rPr>
                <w:rFonts w:hint="eastAsia" w:ascii="仿宋" w:hAnsi="仿宋" w:eastAsia="仿宋" w:cs="仿宋"/>
                <w:color w:val="auto"/>
                <w:szCs w:val="21"/>
                <w:lang w:eastAsia="zh-CN"/>
              </w:rPr>
              <w:t>好地</w:t>
            </w:r>
            <w:r>
              <w:rPr>
                <w:rFonts w:hint="eastAsia" w:ascii="仿宋" w:hAnsi="仿宋" w:eastAsia="仿宋" w:cs="仿宋"/>
                <w:color w:val="auto"/>
                <w:szCs w:val="21"/>
              </w:rPr>
              <w:t>满足采购方需求；</w:t>
            </w:r>
          </w:p>
          <w:p w14:paraId="64175045">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三</w:t>
            </w:r>
            <w:r>
              <w:rPr>
                <w:rFonts w:hint="eastAsia" w:ascii="仿宋" w:hAnsi="仿宋" w:eastAsia="仿宋" w:cs="仿宋"/>
                <w:color w:val="auto"/>
                <w:szCs w:val="21"/>
              </w:rPr>
              <w:t>档次（</w:t>
            </w:r>
            <w:r>
              <w:rPr>
                <w:rFonts w:hint="eastAsia" w:ascii="仿宋" w:hAnsi="仿宋" w:eastAsia="仿宋" w:cs="仿宋"/>
                <w:color w:val="auto"/>
                <w:szCs w:val="21"/>
                <w:lang w:val="en-US" w:eastAsia="zh-CN"/>
              </w:rPr>
              <w:t>10</w:t>
            </w:r>
            <w:r>
              <w:rPr>
                <w:rFonts w:hint="eastAsia" w:ascii="仿宋" w:hAnsi="仿宋" w:eastAsia="仿宋" w:cs="仿宋"/>
                <w:color w:val="auto"/>
                <w:szCs w:val="21"/>
              </w:rPr>
              <w:t>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w:t>
            </w:r>
            <w:r>
              <w:rPr>
                <w:rFonts w:hint="eastAsia" w:ascii="仿宋" w:hAnsi="仿宋" w:eastAsia="仿宋" w:cs="仿宋"/>
                <w:color w:val="auto"/>
                <w:szCs w:val="21"/>
                <w:lang w:eastAsia="zh-CN"/>
              </w:rPr>
              <w:t>，以及</w:t>
            </w:r>
            <w:r>
              <w:rPr>
                <w:rFonts w:hint="eastAsia" w:ascii="仿宋" w:hAnsi="仿宋" w:eastAsia="仿宋" w:cs="仿宋"/>
                <w:color w:val="auto"/>
                <w:szCs w:val="21"/>
              </w:rPr>
              <w:t>质量保证措施基本合理、完整，基本能满足采购方需求；</w:t>
            </w:r>
          </w:p>
          <w:p w14:paraId="5AE91254">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四</w:t>
            </w:r>
            <w:r>
              <w:rPr>
                <w:rFonts w:hint="eastAsia" w:ascii="仿宋" w:hAnsi="仿宋" w:eastAsia="仿宋" w:cs="仿宋"/>
                <w:color w:val="auto"/>
                <w:szCs w:val="21"/>
              </w:rPr>
              <w:t>档次（0分）：投标人未提供项目建设实施计划。</w:t>
            </w:r>
          </w:p>
        </w:tc>
      </w:tr>
      <w:tr w14:paraId="168ADD15">
        <w:tblPrEx>
          <w:tblCellMar>
            <w:top w:w="0" w:type="dxa"/>
            <w:left w:w="23" w:type="dxa"/>
            <w:bottom w:w="0" w:type="dxa"/>
            <w:right w:w="23" w:type="dxa"/>
          </w:tblCellMar>
        </w:tblPrEx>
        <w:trPr>
          <w:trHeight w:val="23" w:hRule="atLeast"/>
        </w:trPr>
        <w:tc>
          <w:tcPr>
            <w:tcW w:w="672" w:type="dxa"/>
            <w:vMerge w:val="continue"/>
            <w:vAlign w:val="center"/>
          </w:tcPr>
          <w:p w14:paraId="38890A48">
            <w:pPr>
              <w:pStyle w:val="44"/>
              <w:spacing w:line="360" w:lineRule="auto"/>
              <w:rPr>
                <w:rFonts w:ascii="仿宋" w:hAnsi="仿宋" w:eastAsia="仿宋" w:cs="仿宋"/>
                <w:color w:val="auto"/>
                <w:sz w:val="21"/>
                <w:szCs w:val="21"/>
              </w:rPr>
            </w:pPr>
          </w:p>
        </w:tc>
        <w:tc>
          <w:tcPr>
            <w:tcW w:w="673" w:type="dxa"/>
            <w:vMerge w:val="continue"/>
            <w:vAlign w:val="center"/>
          </w:tcPr>
          <w:p w14:paraId="57E651F5">
            <w:pPr>
              <w:pStyle w:val="44"/>
              <w:spacing w:line="360" w:lineRule="auto"/>
              <w:rPr>
                <w:rFonts w:ascii="仿宋" w:hAnsi="仿宋" w:eastAsia="仿宋" w:cs="仿宋"/>
                <w:color w:val="auto"/>
                <w:sz w:val="21"/>
                <w:szCs w:val="21"/>
              </w:rPr>
            </w:pPr>
          </w:p>
        </w:tc>
        <w:tc>
          <w:tcPr>
            <w:tcW w:w="1563" w:type="dxa"/>
            <w:vAlign w:val="center"/>
          </w:tcPr>
          <w:p w14:paraId="141E625F">
            <w:pPr>
              <w:spacing w:line="360" w:lineRule="auto"/>
              <w:jc w:val="center"/>
              <w:rPr>
                <w:rFonts w:hint="eastAsia" w:ascii="仿宋" w:hAnsi="仿宋" w:eastAsia="仿宋" w:cs="仿宋"/>
                <w:color w:val="auto"/>
                <w:szCs w:val="21"/>
                <w:lang w:eastAsia="zh-CN"/>
              </w:rPr>
            </w:pPr>
            <w:r>
              <w:rPr>
                <w:rFonts w:hint="eastAsia" w:ascii="仿宋" w:hAnsi="仿宋" w:eastAsia="仿宋" w:cs="仿宋"/>
                <w:color w:val="auto"/>
                <w:szCs w:val="21"/>
              </w:rPr>
              <w:t>服务质量承诺及</w:t>
            </w:r>
            <w:r>
              <w:rPr>
                <w:rFonts w:hint="eastAsia" w:ascii="仿宋" w:hAnsi="仿宋" w:eastAsia="仿宋" w:cs="仿宋"/>
                <w:color w:val="auto"/>
                <w:szCs w:val="21"/>
                <w:lang w:val="en-US" w:eastAsia="zh-CN"/>
              </w:rPr>
              <w:t>违约处罚措施</w:t>
            </w:r>
          </w:p>
          <w:p w14:paraId="1B750281">
            <w:pPr>
              <w:wordWrap w:val="0"/>
              <w:spacing w:line="360" w:lineRule="auto"/>
              <w:jc w:val="center"/>
              <w:rPr>
                <w:rFonts w:ascii="仿宋" w:hAnsi="仿宋" w:eastAsia="仿宋" w:cs="仿宋"/>
                <w:color w:val="auto"/>
                <w:szCs w:val="21"/>
              </w:rPr>
            </w:pPr>
            <w:r>
              <w:rPr>
                <w:rFonts w:hint="eastAsia" w:ascii="仿宋" w:hAnsi="仿宋" w:eastAsia="仿宋" w:cs="仿宋"/>
                <w:color w:val="auto"/>
                <w:szCs w:val="21"/>
              </w:rPr>
              <w:t>（满分</w:t>
            </w:r>
            <w:r>
              <w:rPr>
                <w:rFonts w:hint="eastAsia" w:ascii="仿宋" w:hAnsi="仿宋" w:eastAsia="仿宋" w:cs="仿宋"/>
                <w:color w:val="auto"/>
                <w:szCs w:val="21"/>
                <w:lang w:val="en-US" w:eastAsia="zh-CN"/>
              </w:rPr>
              <w:t>25</w:t>
            </w:r>
            <w:r>
              <w:rPr>
                <w:rFonts w:hint="eastAsia" w:ascii="仿宋" w:hAnsi="仿宋" w:eastAsia="仿宋" w:cs="仿宋"/>
                <w:color w:val="auto"/>
                <w:szCs w:val="21"/>
              </w:rPr>
              <w:t>分）</w:t>
            </w:r>
          </w:p>
        </w:tc>
        <w:tc>
          <w:tcPr>
            <w:tcW w:w="7012" w:type="dxa"/>
          </w:tcPr>
          <w:p w14:paraId="1A775AC1">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color w:val="auto"/>
                <w:szCs w:val="21"/>
              </w:rPr>
            </w:pPr>
            <w:r>
              <w:rPr>
                <w:rFonts w:hint="eastAsia" w:ascii="仿宋" w:hAnsi="仿宋" w:eastAsia="仿宋" w:cs="仿宋"/>
                <w:color w:val="auto"/>
                <w:szCs w:val="21"/>
              </w:rPr>
              <w:t>第一档次（2</w:t>
            </w:r>
            <w:r>
              <w:rPr>
                <w:rFonts w:hint="eastAsia" w:ascii="仿宋" w:hAnsi="仿宋" w:eastAsia="仿宋" w:cs="仿宋"/>
                <w:color w:val="auto"/>
                <w:szCs w:val="21"/>
                <w:lang w:val="en-US" w:eastAsia="zh-CN"/>
              </w:rPr>
              <w:t>5</w:t>
            </w:r>
            <w:r>
              <w:rPr>
                <w:rFonts w:hint="eastAsia" w:ascii="仿宋" w:hAnsi="仿宋" w:eastAsia="仿宋" w:cs="仿宋"/>
                <w:color w:val="auto"/>
                <w:szCs w:val="21"/>
              </w:rPr>
              <w:t>分）：供应商针对本项目作出的服务质量承诺及保证措施完整可行，有针对性，能完全满足项目需求的；违约处罚措施及承诺科学合理、全面完整、标准规范、切实可行，针对性强，完全满足采购人实际需求；维保服务费用清单</w:t>
            </w:r>
            <w:r>
              <w:rPr>
                <w:rFonts w:hint="eastAsia" w:ascii="仿宋" w:hAnsi="仿宋" w:eastAsia="仿宋" w:cs="仿宋"/>
                <w:color w:val="auto"/>
                <w:szCs w:val="21"/>
                <w:lang w:val="en-US" w:eastAsia="zh-CN"/>
              </w:rPr>
              <w:t>合理。</w:t>
            </w:r>
          </w:p>
          <w:p w14:paraId="4D519068">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color w:val="auto"/>
                <w:szCs w:val="21"/>
              </w:rPr>
            </w:pPr>
            <w:r>
              <w:rPr>
                <w:rFonts w:hint="eastAsia" w:ascii="仿宋" w:hAnsi="仿宋" w:eastAsia="仿宋" w:cs="仿宋"/>
                <w:color w:val="auto"/>
                <w:szCs w:val="21"/>
              </w:rPr>
              <w:t>第二档次（</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分）：供应商针对本项目的服务质量承诺及保证措施合理</w:t>
            </w:r>
            <w:r>
              <w:rPr>
                <w:rFonts w:hint="eastAsia" w:ascii="仿宋" w:hAnsi="仿宋" w:eastAsia="仿宋" w:cs="仿宋"/>
                <w:color w:val="auto"/>
                <w:szCs w:val="21"/>
                <w:lang w:eastAsia="zh-CN"/>
              </w:rPr>
              <w:t>，具</w:t>
            </w:r>
            <w:r>
              <w:rPr>
                <w:rFonts w:hint="eastAsia" w:ascii="仿宋" w:hAnsi="仿宋" w:eastAsia="仿宋" w:cs="仿宋"/>
                <w:color w:val="auto"/>
                <w:szCs w:val="21"/>
              </w:rPr>
              <w:t>有一定可</w:t>
            </w:r>
            <w:r>
              <w:rPr>
                <w:rFonts w:hint="eastAsia" w:ascii="仿宋" w:hAnsi="仿宋" w:eastAsia="仿宋" w:cs="仿宋"/>
                <w:color w:val="auto"/>
                <w:szCs w:val="21"/>
                <w:lang w:eastAsia="zh-CN"/>
              </w:rPr>
              <w:t>行性</w:t>
            </w:r>
            <w:r>
              <w:rPr>
                <w:rFonts w:hint="eastAsia" w:ascii="仿宋" w:hAnsi="仿宋" w:eastAsia="仿宋" w:cs="仿宋"/>
                <w:color w:val="auto"/>
                <w:szCs w:val="21"/>
              </w:rPr>
              <w:t>及针对性，能部分满足项目需求的；违约处罚措施及承诺基本合理，基本完整，可行性一般，针对性一般，基本满足采购人实际需求；维保服务费用清单</w:t>
            </w:r>
            <w:r>
              <w:rPr>
                <w:rFonts w:hint="eastAsia" w:ascii="仿宋" w:hAnsi="仿宋" w:eastAsia="仿宋" w:cs="仿宋"/>
                <w:color w:val="auto"/>
                <w:szCs w:val="21"/>
                <w:lang w:val="en-US" w:eastAsia="zh-CN"/>
              </w:rPr>
              <w:t>合理。</w:t>
            </w:r>
          </w:p>
          <w:p w14:paraId="11A4ACF7">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b/>
                <w:bCs/>
                <w:color w:val="auto"/>
                <w:szCs w:val="21"/>
                <w:lang w:eastAsia="zh-CN"/>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10</w:t>
            </w:r>
            <w:r>
              <w:rPr>
                <w:rFonts w:hint="eastAsia" w:ascii="仿宋" w:hAnsi="仿宋" w:eastAsia="仿宋" w:cs="仿宋"/>
                <w:color w:val="auto"/>
                <w:szCs w:val="21"/>
              </w:rPr>
              <w:t>分）：供应商针对本项目的服务质量承诺及保证措施较差，不能满足项目需求；违约处罚措施及承诺缺乏合理性，内容缺漏，可行性差，针对性差，难以满足采购人实际需求</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有</w:t>
            </w:r>
            <w:r>
              <w:rPr>
                <w:rFonts w:hint="eastAsia" w:ascii="仿宋" w:hAnsi="仿宋" w:eastAsia="仿宋" w:cs="仿宋"/>
                <w:color w:val="auto"/>
                <w:szCs w:val="21"/>
              </w:rPr>
              <w:t>维保服务费用清单</w:t>
            </w:r>
            <w:r>
              <w:rPr>
                <w:rFonts w:hint="eastAsia" w:ascii="仿宋" w:hAnsi="仿宋" w:eastAsia="仿宋" w:cs="仿宋"/>
                <w:color w:val="auto"/>
                <w:szCs w:val="21"/>
                <w:lang w:eastAsia="zh-CN"/>
              </w:rPr>
              <w:t>。</w:t>
            </w:r>
          </w:p>
          <w:p w14:paraId="1355851F">
            <w:pPr>
              <w:keepNext w:val="0"/>
              <w:keepLines w:val="0"/>
              <w:pageBreakBefore w:val="0"/>
              <w:widowControl w:val="0"/>
              <w:kinsoku/>
              <w:wordWrap/>
              <w:overflowPunct/>
              <w:topLinePunct w:val="0"/>
              <w:bidi w:val="0"/>
              <w:adjustRightInd/>
              <w:snapToGrid/>
              <w:spacing w:line="240" w:lineRule="auto"/>
              <w:textAlignment w:val="auto"/>
            </w:pPr>
            <w:r>
              <w:rPr>
                <w:rFonts w:hint="eastAsia" w:ascii="仿宋" w:hAnsi="仿宋" w:eastAsia="仿宋" w:cs="仿宋"/>
                <w:color w:val="auto"/>
                <w:szCs w:val="21"/>
              </w:rPr>
              <w:t>第四档次（0分）：无服务质量承诺及保证措施的</w:t>
            </w:r>
            <w:r>
              <w:rPr>
                <w:rFonts w:hint="eastAsia" w:ascii="仿宋" w:hAnsi="仿宋" w:eastAsia="仿宋" w:cs="仿宋"/>
                <w:color w:val="auto"/>
                <w:szCs w:val="21"/>
                <w:lang w:eastAsia="zh-CN"/>
              </w:rPr>
              <w:t>，</w:t>
            </w:r>
            <w:r>
              <w:rPr>
                <w:rFonts w:hint="eastAsia" w:ascii="仿宋" w:hAnsi="仿宋" w:eastAsia="仿宋" w:cs="仿宋"/>
                <w:b w:val="0"/>
                <w:bCs w:val="0"/>
                <w:color w:val="auto"/>
                <w:kern w:val="2"/>
                <w:sz w:val="21"/>
                <w:szCs w:val="21"/>
              </w:rPr>
              <w:t>未提出违约处罚措施及承诺。</w:t>
            </w:r>
          </w:p>
        </w:tc>
      </w:tr>
      <w:tr w14:paraId="67327EFA">
        <w:tblPrEx>
          <w:tblCellMar>
            <w:top w:w="0" w:type="dxa"/>
            <w:left w:w="23" w:type="dxa"/>
            <w:bottom w:w="0" w:type="dxa"/>
            <w:right w:w="23" w:type="dxa"/>
          </w:tblCellMar>
        </w:tblPrEx>
        <w:trPr>
          <w:trHeight w:val="23" w:hRule="atLeast"/>
        </w:trPr>
        <w:tc>
          <w:tcPr>
            <w:tcW w:w="672" w:type="dxa"/>
            <w:vMerge w:val="continue"/>
            <w:vAlign w:val="center"/>
          </w:tcPr>
          <w:p w14:paraId="7FF833CE">
            <w:pPr>
              <w:pStyle w:val="44"/>
              <w:spacing w:line="360" w:lineRule="auto"/>
              <w:rPr>
                <w:rFonts w:ascii="仿宋" w:hAnsi="仿宋" w:eastAsia="仿宋" w:cs="仿宋"/>
                <w:color w:val="auto"/>
                <w:sz w:val="21"/>
                <w:szCs w:val="21"/>
              </w:rPr>
            </w:pPr>
            <w:bookmarkStart w:id="389" w:name="_Toc6874"/>
            <w:bookmarkStart w:id="390" w:name="_Toc22147"/>
            <w:bookmarkStart w:id="391" w:name="_Toc18299"/>
            <w:bookmarkStart w:id="392" w:name="_Toc28653"/>
            <w:bookmarkStart w:id="393" w:name="_Toc263"/>
            <w:bookmarkStart w:id="394" w:name="_Toc17382"/>
            <w:bookmarkStart w:id="395" w:name="_Toc30498"/>
          </w:p>
        </w:tc>
        <w:tc>
          <w:tcPr>
            <w:tcW w:w="673" w:type="dxa"/>
            <w:vMerge w:val="continue"/>
            <w:vAlign w:val="center"/>
          </w:tcPr>
          <w:p w14:paraId="6005400F">
            <w:pPr>
              <w:pStyle w:val="44"/>
              <w:spacing w:line="360" w:lineRule="auto"/>
              <w:rPr>
                <w:rFonts w:ascii="仿宋" w:hAnsi="仿宋" w:eastAsia="仿宋" w:cs="仿宋"/>
                <w:color w:val="auto"/>
                <w:sz w:val="21"/>
                <w:szCs w:val="21"/>
              </w:rPr>
            </w:pPr>
          </w:p>
        </w:tc>
        <w:tc>
          <w:tcPr>
            <w:tcW w:w="1563" w:type="dxa"/>
            <w:vAlign w:val="center"/>
          </w:tcPr>
          <w:p w14:paraId="1C674724">
            <w:pPr>
              <w:wordWrap w:val="0"/>
              <w:spacing w:line="360" w:lineRule="auto"/>
              <w:jc w:val="center"/>
              <w:rPr>
                <w:rFonts w:hint="eastAsia" w:ascii="宋体" w:hAnsi="宋体" w:eastAsia="仿宋"/>
                <w:color w:val="auto"/>
                <w:szCs w:val="21"/>
                <w:lang w:val="en-US" w:eastAsia="zh-CN"/>
              </w:rPr>
            </w:pPr>
            <w:r>
              <w:rPr>
                <w:rFonts w:hint="eastAsia" w:ascii="宋体" w:hAnsi="宋体" w:eastAsia="仿宋"/>
                <w:color w:val="auto"/>
                <w:szCs w:val="21"/>
                <w:lang w:val="en-US" w:eastAsia="zh-CN"/>
              </w:rPr>
              <w:t>服务技术能力</w:t>
            </w:r>
          </w:p>
          <w:p w14:paraId="5EB714B8">
            <w:pPr>
              <w:pStyle w:val="5"/>
              <w:rPr>
                <w:rFonts w:hint="default"/>
                <w:lang w:val="en-US" w:eastAsia="zh-CN"/>
              </w:rPr>
            </w:pPr>
            <w:r>
              <w:rPr>
                <w:rFonts w:hint="eastAsia" w:ascii="宋体" w:hAnsi="宋体" w:eastAsia="仿宋"/>
                <w:color w:val="auto"/>
                <w:szCs w:val="21"/>
                <w:lang w:val="en-US" w:eastAsia="zh-CN"/>
              </w:rPr>
              <w:t>（满分20分）</w:t>
            </w:r>
          </w:p>
        </w:tc>
        <w:tc>
          <w:tcPr>
            <w:tcW w:w="7012" w:type="dxa"/>
            <w:shd w:val="clear" w:color="auto" w:fill="auto"/>
            <w:vAlign w:val="top"/>
          </w:tcPr>
          <w:p w14:paraId="5D1AC1F8">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20</w:t>
            </w:r>
            <w:r>
              <w:rPr>
                <w:rFonts w:hint="eastAsia" w:ascii="仿宋" w:hAnsi="仿宋" w:eastAsia="仿宋" w:cs="仿宋"/>
                <w:color w:val="auto"/>
                <w:szCs w:val="21"/>
              </w:rPr>
              <w:t>分）：近3年有学校/教育机构</w:t>
            </w:r>
            <w:r>
              <w:rPr>
                <w:rFonts w:hint="eastAsia" w:ascii="仿宋" w:hAnsi="仿宋" w:eastAsia="仿宋" w:cs="仿宋"/>
                <w:color w:val="auto"/>
                <w:szCs w:val="21"/>
                <w:lang w:val="en-US" w:eastAsia="zh-CN"/>
              </w:rPr>
              <w:t>相关</w:t>
            </w:r>
            <w:r>
              <w:rPr>
                <w:rFonts w:hint="eastAsia" w:ascii="仿宋" w:hAnsi="仿宋" w:eastAsia="仿宋" w:cs="仿宋"/>
                <w:color w:val="auto"/>
                <w:szCs w:val="21"/>
              </w:rPr>
              <w:t>项目经验</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提供</w:t>
            </w:r>
            <w:r>
              <w:rPr>
                <w:rFonts w:hint="eastAsia" w:ascii="仿宋" w:hAnsi="仿宋" w:eastAsia="仿宋" w:cs="仿宋"/>
                <w:color w:val="auto"/>
                <w:szCs w:val="21"/>
              </w:rPr>
              <w:t>合同复印件</w:t>
            </w:r>
            <w:r>
              <w:rPr>
                <w:rFonts w:hint="eastAsia" w:ascii="仿宋" w:hAnsi="仿宋" w:eastAsia="仿宋" w:cs="仿宋"/>
                <w:color w:val="auto"/>
                <w:szCs w:val="21"/>
                <w:lang w:val="en-US" w:eastAsia="zh-CN"/>
              </w:rPr>
              <w:t>3个</w:t>
            </w:r>
            <w:r>
              <w:rPr>
                <w:rFonts w:hint="eastAsia" w:ascii="仿宋" w:hAnsi="仿宋" w:eastAsia="仿宋" w:cs="仿宋"/>
                <w:color w:val="auto"/>
                <w:szCs w:val="21"/>
              </w:rPr>
              <w:t>，1人持电工证</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1人持从事监控业务的相关证件</w:t>
            </w:r>
            <w:r>
              <w:rPr>
                <w:rFonts w:hint="eastAsia" w:ascii="仿宋" w:hAnsi="仿宋" w:eastAsia="仿宋" w:cs="仿宋"/>
                <w:color w:val="auto"/>
                <w:szCs w:val="21"/>
              </w:rPr>
              <w:t>。</w:t>
            </w:r>
          </w:p>
          <w:p w14:paraId="5FEA10E6">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第二档次（</w:t>
            </w:r>
            <w:r>
              <w:rPr>
                <w:rFonts w:hint="eastAsia" w:ascii="仿宋" w:hAnsi="仿宋" w:eastAsia="仿宋" w:cs="仿宋"/>
                <w:color w:val="auto"/>
                <w:szCs w:val="21"/>
                <w:lang w:val="en-US" w:eastAsia="zh-CN"/>
              </w:rPr>
              <w:t>10</w:t>
            </w:r>
            <w:r>
              <w:rPr>
                <w:rFonts w:hint="eastAsia" w:ascii="仿宋" w:hAnsi="仿宋" w:eastAsia="仿宋" w:cs="仿宋"/>
                <w:color w:val="auto"/>
                <w:szCs w:val="21"/>
              </w:rPr>
              <w:t>分）：近3年有学校/教育机构</w:t>
            </w:r>
            <w:r>
              <w:rPr>
                <w:rFonts w:hint="eastAsia" w:ascii="仿宋" w:hAnsi="仿宋" w:eastAsia="仿宋" w:cs="仿宋"/>
                <w:color w:val="auto"/>
                <w:szCs w:val="21"/>
                <w:lang w:val="en-US" w:eastAsia="zh-CN"/>
              </w:rPr>
              <w:t>相关</w:t>
            </w:r>
            <w:r>
              <w:rPr>
                <w:rFonts w:hint="eastAsia" w:ascii="仿宋" w:hAnsi="仿宋" w:eastAsia="仿宋" w:cs="仿宋"/>
                <w:color w:val="auto"/>
                <w:szCs w:val="21"/>
              </w:rPr>
              <w:t>项目经验</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提供</w:t>
            </w:r>
            <w:r>
              <w:rPr>
                <w:rFonts w:hint="eastAsia" w:ascii="仿宋" w:hAnsi="仿宋" w:eastAsia="仿宋" w:cs="仿宋"/>
                <w:color w:val="auto"/>
                <w:szCs w:val="21"/>
              </w:rPr>
              <w:t>合同复印件</w:t>
            </w:r>
            <w:r>
              <w:rPr>
                <w:rFonts w:hint="eastAsia" w:ascii="仿宋" w:hAnsi="仿宋" w:eastAsia="仿宋" w:cs="仿宋"/>
                <w:color w:val="auto"/>
                <w:szCs w:val="21"/>
                <w:lang w:val="en-US" w:eastAsia="zh-CN"/>
              </w:rPr>
              <w:t>2个</w:t>
            </w:r>
            <w:r>
              <w:rPr>
                <w:rFonts w:hint="eastAsia" w:ascii="仿宋" w:hAnsi="仿宋" w:eastAsia="仿宋" w:cs="仿宋"/>
                <w:color w:val="auto"/>
                <w:szCs w:val="21"/>
              </w:rPr>
              <w:t>，1人持电工证。</w:t>
            </w:r>
          </w:p>
          <w:p w14:paraId="7BD34C3A">
            <w:pPr>
              <w:keepNext w:val="0"/>
              <w:keepLines w:val="0"/>
              <w:pageBreakBefore w:val="0"/>
              <w:widowControl w:val="0"/>
              <w:kinsoku/>
              <w:wordWrap/>
              <w:overflowPunct/>
              <w:topLinePunct w:val="0"/>
              <w:bidi w:val="0"/>
              <w:adjustRightInd/>
              <w:snapToGrid/>
              <w:spacing w:line="240" w:lineRule="auto"/>
              <w:textAlignment w:val="auto"/>
              <w:rPr>
                <w:rFonts w:ascii="仿宋" w:hAnsi="仿宋" w:eastAsia="仿宋" w:cs="仿宋"/>
                <w:color w:val="auto"/>
                <w:szCs w:val="21"/>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3</w:t>
            </w:r>
            <w:r>
              <w:rPr>
                <w:rFonts w:hint="eastAsia" w:ascii="仿宋" w:hAnsi="仿宋" w:eastAsia="仿宋" w:cs="仿宋"/>
                <w:color w:val="auto"/>
                <w:szCs w:val="21"/>
              </w:rPr>
              <w:t>分）：近3年有学校/教育机构</w:t>
            </w:r>
            <w:r>
              <w:rPr>
                <w:rFonts w:hint="eastAsia" w:ascii="仿宋" w:hAnsi="仿宋" w:eastAsia="仿宋" w:cs="仿宋"/>
                <w:color w:val="auto"/>
                <w:szCs w:val="21"/>
                <w:lang w:val="en-US" w:eastAsia="zh-CN"/>
              </w:rPr>
              <w:t>相关</w:t>
            </w:r>
            <w:r>
              <w:rPr>
                <w:rFonts w:hint="eastAsia" w:ascii="仿宋" w:hAnsi="仿宋" w:eastAsia="仿宋" w:cs="仿宋"/>
                <w:color w:val="auto"/>
                <w:szCs w:val="21"/>
              </w:rPr>
              <w:t>项目经验</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提供</w:t>
            </w:r>
            <w:r>
              <w:rPr>
                <w:rFonts w:hint="eastAsia" w:ascii="仿宋" w:hAnsi="仿宋" w:eastAsia="仿宋" w:cs="仿宋"/>
                <w:color w:val="auto"/>
                <w:szCs w:val="21"/>
              </w:rPr>
              <w:t>合同复印件</w:t>
            </w:r>
            <w:r>
              <w:rPr>
                <w:rFonts w:hint="eastAsia" w:ascii="仿宋" w:hAnsi="仿宋" w:eastAsia="仿宋" w:cs="仿宋"/>
                <w:color w:val="auto"/>
                <w:szCs w:val="21"/>
                <w:lang w:val="en-US" w:eastAsia="zh-CN"/>
              </w:rPr>
              <w:t>1个</w:t>
            </w:r>
            <w:r>
              <w:rPr>
                <w:rFonts w:hint="eastAsia" w:ascii="仿宋" w:hAnsi="仿宋" w:eastAsia="仿宋" w:cs="仿宋"/>
                <w:color w:val="auto"/>
                <w:szCs w:val="21"/>
              </w:rPr>
              <w:t>。</w:t>
            </w:r>
          </w:p>
          <w:p w14:paraId="574175AB">
            <w:pPr>
              <w:keepNext w:val="0"/>
              <w:keepLines w:val="0"/>
              <w:pageBreakBefore w:val="0"/>
              <w:widowControl w:val="0"/>
              <w:kinsoku/>
              <w:wordWrap/>
              <w:overflowPunct/>
              <w:topLinePunct w:val="0"/>
              <w:bidi w:val="0"/>
              <w:adjustRightInd/>
              <w:snapToGrid/>
              <w:spacing w:line="240" w:lineRule="auto"/>
              <w:textAlignment w:val="auto"/>
              <w:rPr>
                <w:rFonts w:hint="eastAsia" w:ascii="仿宋" w:hAnsi="仿宋" w:eastAsia="仿宋" w:cs="仿宋"/>
                <w:color w:val="auto"/>
                <w:kern w:val="2"/>
                <w:sz w:val="21"/>
                <w:szCs w:val="21"/>
                <w:lang w:val="en-US" w:eastAsia="zh-CN" w:bidi="ar-SA"/>
              </w:rPr>
            </w:pPr>
            <w:r>
              <w:rPr>
                <w:rFonts w:hint="eastAsia" w:ascii="仿宋" w:hAnsi="仿宋" w:eastAsia="仿宋" w:cs="仿宋"/>
                <w:color w:val="auto"/>
                <w:szCs w:val="21"/>
              </w:rPr>
              <w:t>第四档次（0分）：无</w:t>
            </w:r>
            <w:r>
              <w:rPr>
                <w:rFonts w:hint="eastAsia" w:ascii="仿宋" w:hAnsi="仿宋" w:eastAsia="仿宋" w:cs="仿宋"/>
                <w:color w:val="auto"/>
                <w:szCs w:val="21"/>
                <w:lang w:val="en-US" w:eastAsia="zh-CN"/>
              </w:rPr>
              <w:t>相关合同及人员证件证明材料。</w:t>
            </w:r>
          </w:p>
        </w:tc>
      </w:tr>
    </w:tbl>
    <w:p w14:paraId="31B3147D">
      <w:pPr>
        <w:rPr>
          <w:rFonts w:ascii="仿宋" w:hAnsi="仿宋" w:eastAsia="仿宋" w:cs="仿宋"/>
          <w:b/>
          <w:bCs/>
          <w:color w:val="auto"/>
          <w:sz w:val="24"/>
        </w:rPr>
      </w:pPr>
      <w:r>
        <w:rPr>
          <w:rFonts w:hint="eastAsia" w:ascii="仿宋" w:hAnsi="仿宋" w:eastAsia="仿宋" w:cs="仿宋"/>
          <w:b/>
          <w:bCs/>
          <w:color w:val="auto"/>
          <w:sz w:val="24"/>
        </w:rPr>
        <w:br w:type="page"/>
      </w:r>
    </w:p>
    <w:bookmarkEnd w:id="389"/>
    <w:bookmarkEnd w:id="390"/>
    <w:bookmarkEnd w:id="391"/>
    <w:bookmarkEnd w:id="392"/>
    <w:bookmarkEnd w:id="393"/>
    <w:bookmarkEnd w:id="394"/>
    <w:bookmarkEnd w:id="395"/>
    <w:p w14:paraId="657BA75C">
      <w:pPr>
        <w:outlineLvl w:val="1"/>
        <w:rPr>
          <w:rFonts w:ascii="仿宋" w:hAnsi="仿宋" w:eastAsia="仿宋" w:cs="仿宋"/>
          <w:b/>
          <w:bCs/>
          <w:color w:val="auto"/>
          <w:sz w:val="24"/>
        </w:rPr>
      </w:pPr>
      <w:bookmarkStart w:id="396" w:name="_Toc1035"/>
      <w:bookmarkEnd w:id="396"/>
      <w:r>
        <w:rPr>
          <w:rFonts w:hint="eastAsia" w:ascii="仿宋" w:hAnsi="仿宋" w:eastAsia="仿宋" w:cs="仿宋"/>
          <w:b/>
          <w:bCs/>
          <w:color w:val="auto"/>
          <w:sz w:val="24"/>
        </w:rPr>
        <w:t>1.比选方法：</w:t>
      </w:r>
    </w:p>
    <w:p w14:paraId="496A958F">
      <w:pPr>
        <w:tabs>
          <w:tab w:val="left" w:pos="2472"/>
        </w:tabs>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1.1本次比选采用综合评分法。</w:t>
      </w:r>
      <w:r>
        <w:rPr>
          <w:rFonts w:hint="eastAsia" w:ascii="仿宋" w:hAnsi="仿宋" w:eastAsia="仿宋" w:cs="仿宋"/>
          <w:color w:val="auto"/>
          <w:kern w:val="0"/>
          <w:sz w:val="22"/>
          <w:szCs w:val="22"/>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若最终排名仍一致时，由比选小组不记名投票决定中标候选单位排序。</w:t>
      </w:r>
    </w:p>
    <w:p w14:paraId="6541AA56">
      <w:pPr>
        <w:spacing w:line="500" w:lineRule="exact"/>
        <w:ind w:firstLine="442" w:firstLineChars="200"/>
        <w:rPr>
          <w:rFonts w:ascii="仿宋" w:hAnsi="仿宋" w:eastAsia="仿宋" w:cs="仿宋"/>
          <w:b/>
          <w:color w:val="auto"/>
          <w:sz w:val="22"/>
          <w:szCs w:val="22"/>
        </w:rPr>
      </w:pPr>
      <w:r>
        <w:rPr>
          <w:rFonts w:hint="eastAsia" w:ascii="仿宋" w:hAnsi="仿宋" w:eastAsia="仿宋" w:cs="仿宋"/>
          <w:b/>
          <w:color w:val="auto"/>
          <w:sz w:val="22"/>
          <w:szCs w:val="22"/>
        </w:rPr>
        <w:t>1.2比选小组及其成员不得有下列行为，否则其评审意见无效，并不得获取评审劳务报酬和报销异地评审差旅费：</w:t>
      </w:r>
    </w:p>
    <w:p w14:paraId="1B550BFC">
      <w:pPr>
        <w:spacing w:line="500" w:lineRule="exact"/>
        <w:rPr>
          <w:rFonts w:ascii="仿宋" w:hAnsi="仿宋" w:eastAsia="仿宋" w:cs="仿宋"/>
          <w:color w:val="auto"/>
          <w:sz w:val="22"/>
          <w:szCs w:val="22"/>
        </w:rPr>
      </w:pPr>
      <w:r>
        <w:rPr>
          <w:rFonts w:hint="eastAsia" w:ascii="仿宋" w:hAnsi="仿宋" w:eastAsia="仿宋" w:cs="仿宋"/>
          <w:b/>
          <w:color w:val="auto"/>
          <w:sz w:val="22"/>
          <w:szCs w:val="22"/>
        </w:rPr>
        <w:t>　　</w:t>
      </w:r>
      <w:r>
        <w:rPr>
          <w:rFonts w:hint="eastAsia" w:ascii="仿宋" w:hAnsi="仿宋" w:eastAsia="仿宋" w:cs="仿宋"/>
          <w:color w:val="auto"/>
          <w:sz w:val="22"/>
          <w:szCs w:val="22"/>
        </w:rPr>
        <w:t>（一）确定参与评标至评标结束前私自接触投标人；</w:t>
      </w:r>
    </w:p>
    <w:p w14:paraId="6D3C120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（二）接受投标人提出的与响应文件不一致的澄清或者说明</w:t>
      </w:r>
    </w:p>
    <w:p w14:paraId="6F95042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（三）违反评标纪律发表倾向性意见或者征询招标人的倾向性意见；</w:t>
      </w:r>
    </w:p>
    <w:p w14:paraId="7B153193">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（四）对需要专业判断的主观评审因素协商评分；</w:t>
      </w:r>
    </w:p>
    <w:p w14:paraId="62A93B00">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（五）在评标过程中擅离职守，影响评标程序正常进行的；</w:t>
      </w:r>
    </w:p>
    <w:p w14:paraId="4513F66E">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（六）记录、复制或者带走任何评标资料；</w:t>
      </w:r>
    </w:p>
    <w:p w14:paraId="03315666">
      <w:pPr>
        <w:spacing w:line="500" w:lineRule="exact"/>
        <w:rPr>
          <w:rFonts w:ascii="仿宋" w:hAnsi="仿宋" w:eastAsia="仿宋" w:cs="仿宋"/>
          <w:bCs/>
          <w:color w:val="auto"/>
          <w:sz w:val="20"/>
          <w:szCs w:val="22"/>
        </w:rPr>
      </w:pPr>
      <w:r>
        <w:rPr>
          <w:rFonts w:hint="eastAsia" w:ascii="仿宋" w:hAnsi="仿宋" w:eastAsia="仿宋" w:cs="仿宋"/>
          <w:color w:val="auto"/>
          <w:sz w:val="22"/>
          <w:szCs w:val="22"/>
        </w:rPr>
        <w:t>　 （七）其他不遵守评标纪律的行为。</w:t>
      </w:r>
    </w:p>
    <w:p w14:paraId="68C6C054">
      <w:pPr>
        <w:pStyle w:val="8"/>
        <w:numPr>
          <w:ilvl w:val="0"/>
          <w:numId w:val="0"/>
        </w:numPr>
        <w:spacing w:before="0" w:after="0" w:line="500" w:lineRule="exact"/>
        <w:jc w:val="both"/>
        <w:rPr>
          <w:rFonts w:ascii="仿宋" w:hAnsi="仿宋" w:eastAsia="仿宋" w:cs="仿宋"/>
          <w:color w:val="auto"/>
          <w:sz w:val="24"/>
          <w:szCs w:val="24"/>
        </w:rPr>
      </w:pPr>
      <w:bookmarkStart w:id="397" w:name="_Toc19148"/>
      <w:bookmarkEnd w:id="397"/>
      <w:bookmarkStart w:id="398" w:name="_Toc19732"/>
      <w:bookmarkEnd w:id="398"/>
      <w:bookmarkStart w:id="399" w:name="_Toc20548"/>
      <w:bookmarkEnd w:id="399"/>
      <w:bookmarkStart w:id="400" w:name="_Toc24149"/>
      <w:bookmarkEnd w:id="400"/>
      <w:bookmarkStart w:id="401" w:name="_Toc13693"/>
      <w:bookmarkEnd w:id="401"/>
      <w:bookmarkStart w:id="402" w:name="_Toc8953"/>
      <w:bookmarkEnd w:id="402"/>
      <w:bookmarkStart w:id="403" w:name="_Toc1475"/>
      <w:bookmarkEnd w:id="403"/>
      <w:bookmarkStart w:id="404" w:name="_Toc569"/>
      <w:bookmarkEnd w:id="404"/>
      <w:r>
        <w:rPr>
          <w:rFonts w:hint="eastAsia" w:ascii="仿宋" w:hAnsi="仿宋" w:eastAsia="仿宋" w:cs="仿宋"/>
          <w:color w:val="auto"/>
          <w:sz w:val="24"/>
          <w:szCs w:val="24"/>
        </w:rPr>
        <w:t>2.评审标准</w:t>
      </w:r>
    </w:p>
    <w:p w14:paraId="046796F1">
      <w:pPr>
        <w:tabs>
          <w:tab w:val="left" w:pos="2472"/>
        </w:tabs>
        <w:autoSpaceDE w:val="0"/>
        <w:autoSpaceDN w:val="0"/>
        <w:adjustRightInd w:val="0"/>
        <w:spacing w:line="500" w:lineRule="exact"/>
        <w:jc w:val="left"/>
        <w:rPr>
          <w:rFonts w:ascii="仿宋" w:hAnsi="仿宋" w:eastAsia="仿宋" w:cs="仿宋"/>
          <w:color w:val="auto"/>
          <w:kern w:val="0"/>
          <w:sz w:val="18"/>
          <w:szCs w:val="22"/>
        </w:rPr>
      </w:pPr>
      <w:r>
        <w:rPr>
          <w:rFonts w:hint="eastAsia" w:ascii="仿宋" w:hAnsi="仿宋" w:eastAsia="仿宋" w:cs="仿宋"/>
          <w:b/>
          <w:bCs/>
          <w:color w:val="auto"/>
          <w:kern w:val="0"/>
          <w:sz w:val="22"/>
          <w:szCs w:val="22"/>
        </w:rPr>
        <w:t>2.1实质性要求审查标准</w:t>
      </w:r>
    </w:p>
    <w:p w14:paraId="28A2385C">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实质性要求审查标准：依据法律法规和比选文件的规定，对响应文件中的资格证明等实质性要求审查标准进行审查，见“评审程序和方法前附表”。</w:t>
      </w:r>
    </w:p>
    <w:p w14:paraId="19121361">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2.2 分值构成与评分标准：</w:t>
      </w:r>
      <w:r>
        <w:rPr>
          <w:rFonts w:hint="eastAsia" w:ascii="仿宋" w:hAnsi="仿宋" w:eastAsia="仿宋" w:cs="仿宋"/>
          <w:color w:val="auto"/>
          <w:kern w:val="0"/>
          <w:sz w:val="22"/>
          <w:szCs w:val="22"/>
        </w:rPr>
        <w:t>见评审程序和方法前附表</w:t>
      </w:r>
    </w:p>
    <w:p w14:paraId="65D3A00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2.2.1 分值构成与评分标准：见评审程序和方法前附表</w:t>
      </w:r>
    </w:p>
    <w:p w14:paraId="06223D2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2.2.2 评标基准价计算方法：见评审程序和方法前附表。</w:t>
      </w:r>
    </w:p>
    <w:p w14:paraId="438595F2">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2.2.3 评分标准</w:t>
      </w:r>
    </w:p>
    <w:p w14:paraId="6F3A910E">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按比选文件中规定的评审方法和标准，对实质性要求审查标准合格的响应文件进行商务和技术评估，综合比较与评价。</w:t>
      </w:r>
    </w:p>
    <w:p w14:paraId="57ED16B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（1）报价部分评分标准：见评审程序和方法前附表；</w:t>
      </w:r>
    </w:p>
    <w:p w14:paraId="5EF2E05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（2）技术部分评分标准：见评审程序和方法前附表；</w:t>
      </w:r>
    </w:p>
    <w:p w14:paraId="40E7F915">
      <w:pPr>
        <w:pStyle w:val="8"/>
        <w:numPr>
          <w:ilvl w:val="0"/>
          <w:numId w:val="0"/>
        </w:numPr>
        <w:spacing w:before="0" w:after="0" w:line="500" w:lineRule="exact"/>
        <w:jc w:val="both"/>
        <w:rPr>
          <w:rFonts w:ascii="仿宋" w:hAnsi="仿宋" w:eastAsia="仿宋" w:cs="仿宋"/>
          <w:color w:val="auto"/>
          <w:sz w:val="24"/>
          <w:szCs w:val="24"/>
        </w:rPr>
      </w:pPr>
      <w:bookmarkStart w:id="405" w:name="_Toc395"/>
      <w:bookmarkEnd w:id="405"/>
      <w:bookmarkStart w:id="406" w:name="_Toc5638"/>
      <w:bookmarkEnd w:id="406"/>
      <w:bookmarkStart w:id="407" w:name="_Toc10274"/>
      <w:bookmarkEnd w:id="407"/>
      <w:bookmarkStart w:id="408" w:name="_Toc12149"/>
      <w:bookmarkEnd w:id="408"/>
      <w:bookmarkStart w:id="409" w:name="_Toc26415"/>
      <w:bookmarkEnd w:id="409"/>
      <w:bookmarkStart w:id="410" w:name="_Toc3002"/>
      <w:bookmarkEnd w:id="410"/>
      <w:bookmarkStart w:id="411" w:name="_Toc20939"/>
      <w:bookmarkEnd w:id="411"/>
      <w:bookmarkStart w:id="412" w:name="_Toc26934"/>
      <w:bookmarkEnd w:id="412"/>
      <w:r>
        <w:rPr>
          <w:rFonts w:hint="eastAsia" w:ascii="仿宋" w:hAnsi="仿宋" w:eastAsia="仿宋" w:cs="仿宋"/>
          <w:color w:val="auto"/>
          <w:sz w:val="24"/>
          <w:szCs w:val="24"/>
        </w:rPr>
        <w:t>3. 评审程序</w:t>
      </w:r>
    </w:p>
    <w:p w14:paraId="41A1D6F0">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3.1 实质性要求审查</w:t>
      </w:r>
    </w:p>
    <w:p w14:paraId="391E131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3.1.1 比选小组依据本章第2.1项规定的标准对响应文件进行实质性要求审查。有一项不符合审查标准的，该响应文件按无效比选处理。</w:t>
      </w:r>
    </w:p>
    <w:p w14:paraId="54A570B6">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3.1.2 响应文件如果出现计算或表达上的错误，修正错误的原则如下：</w:t>
      </w:r>
    </w:p>
    <w:p w14:paraId="7079DC43">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（1）报价的大写金额和小写金额不一致的，以大写金额为准；</w:t>
      </w:r>
    </w:p>
    <w:p w14:paraId="41F3E5FD">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（2）总价金额与按单价汇总金额不一致的，以单价金额计算结果为准；</w:t>
      </w:r>
    </w:p>
    <w:p w14:paraId="4DFE40D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（3）单价金额小数点有明显错位的，应以总价为准，并修改单价；</w:t>
      </w:r>
    </w:p>
    <w:p w14:paraId="5C011E4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（4）对不同文字文本响应文件的解释发生异议的，以中文文本为准。</w:t>
      </w:r>
    </w:p>
    <w:p w14:paraId="0C1B91CF">
      <w:pPr>
        <w:tabs>
          <w:tab w:val="left" w:pos="2472"/>
        </w:tabs>
        <w:autoSpaceDE w:val="0"/>
        <w:autoSpaceDN w:val="0"/>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w:t>
      </w:r>
      <w:r>
        <w:rPr>
          <w:rFonts w:hint="eastAsia" w:ascii="仿宋" w:hAnsi="仿宋" w:eastAsia="仿宋" w:cs="仿宋"/>
          <w:color w:val="auto"/>
          <w:kern w:val="0"/>
          <w:sz w:val="22"/>
          <w:szCs w:val="22"/>
        </w:rPr>
        <w:t>（5）按上述修正错误的原则及方法调整或修正响应文件的最终报价</w:t>
      </w:r>
      <w:r>
        <w:rPr>
          <w:rFonts w:hint="eastAsia" w:ascii="仿宋" w:hAnsi="仿宋" w:eastAsia="仿宋" w:cs="仿宋"/>
          <w:color w:val="auto"/>
          <w:kern w:val="0"/>
          <w:sz w:val="22"/>
          <w:szCs w:val="22"/>
          <w:lang w:eastAsia="zh-CN"/>
        </w:rPr>
        <w:t>，经</w:t>
      </w:r>
      <w:r>
        <w:rPr>
          <w:rFonts w:hint="eastAsia" w:ascii="仿宋" w:hAnsi="仿宋" w:eastAsia="仿宋" w:cs="仿宋"/>
          <w:color w:val="auto"/>
          <w:kern w:val="0"/>
          <w:sz w:val="22"/>
          <w:szCs w:val="22"/>
        </w:rPr>
        <w:t>投标人同意后，调整后的最终报价对投标人起约束作用。如果投标人不接受修正后的报价，视为未实质性响应比选文件要求。</w:t>
      </w:r>
    </w:p>
    <w:p w14:paraId="0E3211EA">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3" w:name="_Toc9127"/>
      <w:bookmarkEnd w:id="413"/>
      <w:bookmarkStart w:id="414" w:name="_Toc7290"/>
      <w:bookmarkEnd w:id="414"/>
      <w:bookmarkStart w:id="415" w:name="_Toc5300"/>
      <w:bookmarkEnd w:id="415"/>
      <w:r>
        <w:rPr>
          <w:rFonts w:hint="eastAsia" w:ascii="仿宋" w:hAnsi="仿宋" w:eastAsia="仿宋" w:cs="仿宋"/>
          <w:b/>
          <w:bCs/>
          <w:color w:val="auto"/>
          <w:sz w:val="22"/>
          <w:szCs w:val="22"/>
        </w:rPr>
        <w:t>3.2 详细评审</w:t>
      </w:r>
    </w:p>
    <w:p w14:paraId="6746960F">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14:paraId="016184D8">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3.2.2得分由比选小组成员独立评分，</w:t>
      </w:r>
      <w:r>
        <w:rPr>
          <w:rFonts w:hint="eastAsia" w:ascii="仿宋" w:hAnsi="仿宋" w:eastAsia="仿宋" w:cs="仿宋"/>
          <w:bCs/>
          <w:color w:val="auto"/>
          <w:sz w:val="22"/>
          <w:szCs w:val="22"/>
        </w:rPr>
        <w:t>投标人各项评分因素得分为该项因素各评委评分的算术平均值（保留小数点后两位）</w:t>
      </w:r>
      <w:r>
        <w:rPr>
          <w:rFonts w:hint="eastAsia" w:ascii="仿宋" w:hAnsi="仿宋" w:eastAsia="仿宋" w:cs="仿宋"/>
          <w:color w:val="auto"/>
          <w:sz w:val="22"/>
          <w:szCs w:val="22"/>
        </w:rPr>
        <w:t>，小数点后第三位“四舍五入”。</w:t>
      </w:r>
    </w:p>
    <w:p w14:paraId="6A85C529">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3.2.3比选小组成员要依法独立评审，并对评审意见承担个人责任。比选小组成员对需要共同认定的事项存在争议的，按照少数服从多数的原则</w:t>
      </w:r>
      <w:r>
        <w:rPr>
          <w:rFonts w:hint="eastAsia" w:ascii="仿宋" w:hAnsi="仿宋" w:eastAsia="仿宋" w:cs="仿宋"/>
          <w:color w:val="auto"/>
          <w:sz w:val="22"/>
          <w:szCs w:val="22"/>
          <w:lang w:eastAsia="zh-CN"/>
        </w:rPr>
        <w:t>作出</w:t>
      </w:r>
      <w:r>
        <w:rPr>
          <w:rFonts w:hint="eastAsia" w:ascii="仿宋" w:hAnsi="仿宋" w:eastAsia="仿宋" w:cs="仿宋"/>
          <w:color w:val="auto"/>
          <w:sz w:val="22"/>
          <w:szCs w:val="22"/>
        </w:rPr>
        <w:t>结论。持不同意见的比选小组成员应当在评标报告上签署不同意见并说明理由，否则视为同意。</w:t>
      </w:r>
    </w:p>
    <w:p w14:paraId="344C157F">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6" w:name="_Toc24951"/>
      <w:bookmarkEnd w:id="416"/>
      <w:bookmarkStart w:id="417" w:name="_Toc2051"/>
      <w:bookmarkEnd w:id="417"/>
      <w:bookmarkStart w:id="418" w:name="_Toc890"/>
      <w:bookmarkEnd w:id="418"/>
      <w:r>
        <w:rPr>
          <w:rFonts w:hint="eastAsia" w:ascii="仿宋" w:hAnsi="仿宋" w:eastAsia="仿宋" w:cs="仿宋"/>
          <w:b/>
          <w:bCs/>
          <w:color w:val="auto"/>
          <w:sz w:val="22"/>
          <w:szCs w:val="22"/>
        </w:rPr>
        <w:t xml:space="preserve">3.3 响应文件的澄清 </w:t>
      </w:r>
    </w:p>
    <w:p w14:paraId="04E25E4B">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14:paraId="33EDFBD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（1）响应文件内容澄清</w:t>
      </w:r>
    </w:p>
    <w:p w14:paraId="27A0706F">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14:paraId="64525D3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（2）报价不一致情形澄清</w:t>
      </w:r>
    </w:p>
    <w:p w14:paraId="65D9BFC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14:paraId="300B483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 xml:space="preserve">（3）报价过低情形澄清 </w:t>
      </w:r>
    </w:p>
    <w:p w14:paraId="55CC310A">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比选小组认为投标人的报价明显低于其他通过符合性审查投标人的报价</w:t>
      </w:r>
      <w:r>
        <w:rPr>
          <w:rFonts w:hint="eastAsia" w:ascii="仿宋" w:hAnsi="仿宋" w:eastAsia="仿宋" w:cs="仿宋"/>
          <w:color w:val="auto"/>
          <w:sz w:val="22"/>
          <w:szCs w:val="22"/>
          <w:lang w:eastAsia="zh-CN"/>
        </w:rPr>
        <w:t>（</w:t>
      </w:r>
      <w:r>
        <w:rPr>
          <w:rFonts w:hint="eastAsia" w:ascii="仿宋" w:hAnsi="仿宋" w:eastAsia="仿宋" w:cs="仿宋"/>
          <w:color w:val="auto"/>
          <w:sz w:val="22"/>
          <w:szCs w:val="22"/>
        </w:rPr>
        <w:t>总价或单价</w:t>
      </w:r>
      <w:r>
        <w:rPr>
          <w:rFonts w:hint="eastAsia" w:ascii="仿宋" w:hAnsi="仿宋" w:eastAsia="仿宋" w:cs="仿宋"/>
          <w:color w:val="auto"/>
          <w:sz w:val="22"/>
          <w:szCs w:val="22"/>
          <w:lang w:eastAsia="zh-CN"/>
        </w:rPr>
        <w:t>）</w:t>
      </w:r>
      <w:r>
        <w:rPr>
          <w:rFonts w:hint="eastAsia" w:ascii="仿宋" w:hAnsi="仿宋" w:eastAsia="仿宋" w:cs="仿宋"/>
          <w:color w:val="auto"/>
          <w:sz w:val="22"/>
          <w:szCs w:val="22"/>
        </w:rPr>
        <w:t>，有可能影响产品质量或者不能诚信履约的，应当要求其在评标现场合理的时间内提供书面说明，必要时提交相关证明材料；投标人不能证明其报价合理性的，比选小组应当将其作为无效投标处理。</w:t>
      </w:r>
    </w:p>
    <w:p w14:paraId="290D630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14:paraId="64D5A320">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3.3.3 比选小组对投标人提交的澄清、说明或补正有疑问的，可以要求投标人进一步澄清、说明或补正，直至满足比选小组的要求比选小组对投标人提交的澄清、说明有疑问的，可以要求投标人进一步澄清、说明。</w:t>
      </w:r>
    </w:p>
    <w:p w14:paraId="5AFF5D79">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9" w:name="_Toc15198"/>
      <w:bookmarkEnd w:id="419"/>
      <w:bookmarkStart w:id="420" w:name="_Toc5642"/>
      <w:bookmarkEnd w:id="420"/>
      <w:r>
        <w:rPr>
          <w:rFonts w:hint="eastAsia" w:ascii="仿宋" w:hAnsi="仿宋" w:eastAsia="仿宋" w:cs="仿宋"/>
          <w:b/>
          <w:bCs/>
          <w:color w:val="auto"/>
          <w:sz w:val="22"/>
          <w:szCs w:val="22"/>
        </w:rPr>
        <w:t>3.4特殊情况的处置程序</w:t>
      </w:r>
    </w:p>
    <w:p w14:paraId="67531C1B">
      <w:pPr>
        <w:pStyle w:val="20"/>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3.4.1关于评审活动暂停</w:t>
      </w:r>
    </w:p>
    <w:p w14:paraId="6E5DF057">
      <w:pPr>
        <w:pStyle w:val="20"/>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3.4.1.1比选小组应当执行连续评审的原则，按评审办法中规定的程序、内容、方法、标准完成全部评审工作。只有发生不可抗力导致评审工作无法继续时，评审活动方可暂停。</w:t>
      </w:r>
    </w:p>
    <w:p w14:paraId="49CC9299">
      <w:pPr>
        <w:pStyle w:val="20"/>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3.4.1.2发生评审暂停情况时，比选小组应当封存全部响应文件和评审记录，待不可抗力的影响结束且具备继续评审的条件时，由原比选小组继续评审。</w:t>
      </w:r>
    </w:p>
    <w:p w14:paraId="4F02582A">
      <w:pPr>
        <w:rPr>
          <w:rFonts w:ascii="仿宋" w:hAnsi="仿宋" w:eastAsia="仿宋" w:cs="仿宋"/>
          <w:b/>
          <w:bCs/>
          <w:color w:val="auto"/>
          <w:kern w:val="0"/>
          <w:sz w:val="52"/>
          <w:szCs w:val="32"/>
        </w:rPr>
      </w:pPr>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86"/>
    <w:family w:val="auto"/>
    <w:pitch w:val="default"/>
    <w:sig w:usb0="E0000AFF" w:usb1="00007843" w:usb2="00000001" w:usb3="00000000" w:csb0="400001BF" w:csb1="DFF7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楷体_GB2312">
    <w:altName w:val="汉仪楷体简"/>
    <w:panose1 w:val="00000000000000000000"/>
    <w:charset w:val="86"/>
    <w:family w:val="modern"/>
    <w:pitch w:val="default"/>
    <w:sig w:usb0="00000000" w:usb1="00000000" w:usb2="00000000" w:usb3="00000000" w:csb0="00040000" w:csb1="00000000"/>
  </w:font>
  <w:font w:name="Cambria">
    <w:altName w:val="苹方-简"/>
    <w:panose1 w:val="02040503050406030204"/>
    <w:charset w:val="00"/>
    <w:family w:val="roman"/>
    <w:pitch w:val="default"/>
    <w:sig w:usb0="00000000" w:usb1="00000000" w:usb2="02000000" w:usb3="00000000" w:csb0="2000019F" w:csb1="00000000"/>
  </w:font>
  <w:font w:name="Arial Narrow">
    <w:panose1 w:val="020B0606020202030204"/>
    <w:charset w:val="00"/>
    <w:family w:val="swiss"/>
    <w:pitch w:val="default"/>
    <w:sig w:usb0="00000287" w:usb1="00000800" w:usb2="00000000" w:usb3="00000000" w:csb0="2000009F" w:csb1="DFD70000"/>
  </w:font>
  <w:font w:name="Arial Unicode MS">
    <w:panose1 w:val="020B0604020202020204"/>
    <w:charset w:val="86"/>
    <w:family w:val="swiss"/>
    <w:pitch w:val="default"/>
    <w:sig w:usb0="FFFFFFFF" w:usb1="E9FFFFFF" w:usb2="0000003F" w:usb3="00000000" w:csb0="603F01FF" w:csb1="FFFF0000"/>
  </w:font>
  <w:font w:name="Verdana">
    <w:panose1 w:val="020B08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AFF" w:usb1="C000605B" w:usb2="00000029" w:usb3="00000000" w:csb0="200101FF" w:csb1="20280000"/>
  </w:font>
  <w:font w:name="仿宋">
    <w:altName w:val="方正仿宋_GBK"/>
    <w:panose1 w:val="02010609060101010101"/>
    <w:charset w:val="86"/>
    <w:family w:val="modern"/>
    <w:pitch w:val="default"/>
    <w:sig w:usb0="00000000" w:usb1="00000000" w:usb2="00000016" w:usb3="00000000" w:csb0="00040001" w:csb1="00000000"/>
  </w:font>
  <w:font w:name="等线">
    <w:altName w:val="汉仪中等线KW"/>
    <w:panose1 w:val="02010600030101010101"/>
    <w:charset w:val="86"/>
    <w:family w:val="auto"/>
    <w:pitch w:val="default"/>
    <w:sig w:usb0="00000000" w:usb1="00000000" w:usb2="00000016" w:usb3="00000000" w:csb0="0004000F" w:csb1="00000000"/>
  </w:font>
  <w:font w:name="微软雅黑">
    <w:altName w:val="汉仪旗黑"/>
    <w:panose1 w:val="020B0503020204020204"/>
    <w:charset w:val="86"/>
    <w:family w:val="swiss"/>
    <w:pitch w:val="default"/>
    <w:sig w:usb0="00000000" w:usb1="00000000" w:usb2="00000016" w:usb3="00000000" w:csb0="0004001F" w:csb1="00000000"/>
  </w:font>
  <w:font w:name="Helvetica">
    <w:panose1 w:val="00000000000000000000"/>
    <w:charset w:val="00"/>
    <w:family w:val="auto"/>
    <w:pitch w:val="default"/>
    <w:sig w:usb0="E00002FF" w:usb1="5000785B" w:usb2="00000000" w:usb3="00000000" w:csb0="2000019F" w:csb1="4F010000"/>
  </w:font>
  <w:font w:name="汉仪书宋二KW">
    <w:panose1 w:val="00020600040101010101"/>
    <w:charset w:val="86"/>
    <w:family w:val="auto"/>
    <w:pitch w:val="default"/>
    <w:sig w:usb0="A00002BF" w:usb1="18EF7CFA" w:usb2="00000016" w:usb3="00000000" w:csb0="00040000" w:csb1="00000000"/>
  </w:font>
  <w:font w:name="方正仿宋_GBK">
    <w:panose1 w:val="02000000000000000000"/>
    <w:charset w:val="86"/>
    <w:family w:val="auto"/>
    <w:pitch w:val="default"/>
    <w:sig w:usb0="A00002BF" w:usb1="38CF7CFA" w:usb2="00082016" w:usb3="00000000" w:csb0="00040001" w:csb1="00000000"/>
  </w:font>
  <w:font w:name="汉仪中黑KW">
    <w:panose1 w:val="00020600040101010101"/>
    <w:charset w:val="86"/>
    <w:family w:val="auto"/>
    <w:pitch w:val="default"/>
    <w:sig w:usb0="A00002BF" w:usb1="18EF7CFA" w:usb2="00000016" w:usb3="00000000" w:csb0="00040000" w:csb1="00000000"/>
  </w:font>
  <w:font w:name="宋体-简">
    <w:panose1 w:val="02010800040101010101"/>
    <w:charset w:val="86"/>
    <w:family w:val="auto"/>
    <w:pitch w:val="default"/>
    <w:sig w:usb0="00000001" w:usb1="080F0000" w:usb2="00000000" w:usb3="00000000" w:csb0="00040000" w:csb1="0000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 w:name="汉仪楷体简">
    <w:panose1 w:val="02010600000101010101"/>
    <w:charset w:val="86"/>
    <w:family w:val="auto"/>
    <w:pitch w:val="default"/>
    <w:sig w:usb0="00000001" w:usb1="080E0800" w:usb2="00000002" w:usb3="00000000" w:csb0="00040000" w:csb1="00000000"/>
  </w:font>
  <w:font w:name="苹方-简">
    <w:panose1 w:val="020B0400000000000000"/>
    <w:charset w:val="86"/>
    <w:family w:val="auto"/>
    <w:pitch w:val="default"/>
    <w:sig w:usb0="A00002FF" w:usb1="7ACFFDFB" w:usb2="00000017" w:usb3="00000000" w:csb0="00040001" w:csb1="00000000"/>
  </w:font>
  <w:font w:name="汉仪中等线KW">
    <w:panose1 w:val="01010104010101010101"/>
    <w:charset w:val="86"/>
    <w:family w:val="auto"/>
    <w:pitch w:val="default"/>
    <w:sig w:usb0="800002BF" w:usb1="004F7CFA" w:usb2="00000000" w:usb3="00000000" w:csb0="00040001" w:csb1="00000000"/>
  </w:font>
  <w:font w:name="汉仪旗黑">
    <w:panose1 w:val="00020600040101010101"/>
    <w:charset w:val="86"/>
    <w:family w:val="auto"/>
    <w:pitch w:val="default"/>
    <w:sig w:usb0="A00002BF" w:usb1="1ACF7CFA" w:usb2="00000016"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0E46B">
    <w:pPr>
      <w:pStyle w:val="25"/>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F6F388">
                          <w:pPr>
                            <w:pStyle w:val="25"/>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5F6F388">
                    <w:pPr>
                      <w:pStyle w:val="25"/>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F5484">
    <w:pPr>
      <w:pStyle w:val="25"/>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rPr>
      <w:t>云南师范大学附属世纪金源学校</w:t>
    </w:r>
    <w:r>
      <w:rPr>
        <w:rFonts w:hint="eastAsia" w:ascii="仿宋" w:hAnsi="仿宋" w:eastAsia="仿宋" w:cs="仿宋"/>
        <w:b/>
        <w:spacing w:val="-6"/>
        <w:sz w:val="20"/>
        <w:lang w:val="en-US" w:eastAsia="zh-CN"/>
      </w:rPr>
      <w:t>标准化考试视频监考摄像头增补安装项目</w:t>
    </w:r>
    <w:r>
      <w:rPr>
        <w:rFonts w:hint="eastAsia" w:ascii="仿宋" w:hAnsi="仿宋" w:eastAsia="仿宋" w:cs="仿宋"/>
        <w:b/>
        <w:spacing w:val="-6"/>
        <w:sz w:val="20"/>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091B11">
    <w:pPr>
      <w:pStyle w:val="25"/>
      <w:pBdr>
        <w:bottom w:val="thickThinSmallGap" w:color="auto" w:sz="12" w:space="0"/>
      </w:pBdr>
      <w:spacing w:line="300" w:lineRule="exact"/>
    </w:pPr>
    <w:r>
      <w:rPr>
        <w:rFonts w:hint="eastAsia" w:ascii="仿宋" w:hAnsi="仿宋" w:eastAsia="仿宋" w:cs="仿宋"/>
        <w:b/>
        <w:spacing w:val="-6"/>
        <w:sz w:val="20"/>
      </w:rPr>
      <w:t>云南师范大学附属世纪金源学校</w:t>
    </w:r>
    <w:r>
      <w:rPr>
        <w:rFonts w:hint="eastAsia" w:ascii="仿宋" w:hAnsi="仿宋" w:eastAsia="仿宋" w:cs="仿宋"/>
        <w:b/>
        <w:spacing w:val="-6"/>
        <w:sz w:val="20"/>
        <w:lang w:val="en-US" w:eastAsia="zh-CN"/>
      </w:rPr>
      <w:t>标准化考试视频监考摄像头增补安装项目</w:t>
    </w:r>
    <w:r>
      <w:rPr>
        <w:rFonts w:hint="eastAsia" w:ascii="仿宋" w:hAnsi="仿宋" w:eastAsia="仿宋" w:cs="仿宋"/>
        <w:b/>
        <w:spacing w:val="-6"/>
        <w:sz w:val="2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multilevel"/>
    <w:tmpl w:val="E9CBA0B2"/>
    <w:lvl w:ilvl="0" w:tentative="0">
      <w:start w:val="1"/>
      <w:numFmt w:val="decimal"/>
      <w:lvlText w:val="%1."/>
      <w:lvlJc w:val="left"/>
      <w:pPr>
        <w:tabs>
          <w:tab w:val="left" w:pos="312"/>
        </w:tabs>
      </w:pPr>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11"/>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7"/>
      <w:lvlText w:val="%1"/>
      <w:lvlJc w:val="left"/>
      <w:pPr>
        <w:tabs>
          <w:tab w:val="left" w:pos="360"/>
        </w:tabs>
        <w:ind w:left="284" w:hanging="284"/>
      </w:pPr>
      <w:rPr>
        <w:rFonts w:hint="default" w:ascii="Times New Roman" w:hAnsi="Times New Roman"/>
        <w:b/>
        <w:i w:val="0"/>
        <w:sz w:val="28"/>
      </w:rPr>
    </w:lvl>
    <w:lvl w:ilvl="1" w:tentative="0">
      <w:start w:val="1"/>
      <w:numFmt w:val="decimal"/>
      <w:pStyle w:val="8"/>
      <w:lvlText w:val="%1.%2"/>
      <w:lvlJc w:val="left"/>
      <w:pPr>
        <w:tabs>
          <w:tab w:val="left" w:pos="1021"/>
        </w:tabs>
        <w:ind w:left="1021" w:hanging="596"/>
      </w:pPr>
      <w:rPr>
        <w:rFonts w:hint="default" w:ascii="Times New Roman" w:hAnsi="Times New Roman"/>
        <w:b/>
        <w:i w:val="0"/>
        <w:sz w:val="28"/>
      </w:rPr>
    </w:lvl>
    <w:lvl w:ilvl="2" w:tentative="0">
      <w:start w:val="1"/>
      <w:numFmt w:val="decimal"/>
      <w:pStyle w:val="9"/>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1FC91163"/>
    <w:multiLevelType w:val="multilevel"/>
    <w:tmpl w:val="1FC91163"/>
    <w:lvl w:ilvl="0" w:tentative="0">
      <w:start w:val="1"/>
      <w:numFmt w:val="decimal"/>
      <w:pStyle w:val="244"/>
      <w:suff w:val="nothing"/>
      <w:lvlText w:val="%1　"/>
      <w:lvlJc w:val="left"/>
      <w:pPr>
        <w:ind w:left="0" w:firstLine="0"/>
      </w:pPr>
      <w:rPr>
        <w:rFonts w:hint="eastAsia" w:ascii="黑体" w:hAnsi="Times New Roman" w:eastAsia="黑体"/>
        <w:b w:val="0"/>
        <w:i w:val="0"/>
        <w:sz w:val="32"/>
        <w:szCs w:val="32"/>
      </w:rPr>
    </w:lvl>
    <w:lvl w:ilvl="1" w:tentative="0">
      <w:start w:val="1"/>
      <w:numFmt w:val="decimal"/>
      <w:pStyle w:val="243"/>
      <w:suff w:val="nothing"/>
      <w:lvlText w:val="%1.%2　"/>
      <w:lvlJc w:val="left"/>
      <w:pPr>
        <w:ind w:left="2100" w:firstLine="0"/>
      </w:pPr>
      <w:rPr>
        <w:rFonts w:hint="eastAsia" w:ascii="黑体" w:hAnsi="Times New Roman" w:eastAsia="黑体" w:cs="Times New Roman"/>
        <w:b w:val="0"/>
        <w:bCs w:val="0"/>
        <w:i w:val="0"/>
        <w:iCs w:val="0"/>
        <w:vanish/>
        <w:color w:val="000000"/>
        <w:spacing w:val="0"/>
        <w:kern w:val="0"/>
        <w:sz w:val="32"/>
        <w:szCs w:val="32"/>
        <w:u w:val="none"/>
        <w:vertAlign w:val="baseline"/>
      </w:rPr>
    </w:lvl>
    <w:lvl w:ilvl="2" w:tentative="0">
      <w:start w:val="1"/>
      <w:numFmt w:val="decimal"/>
      <w:suff w:val="nothing"/>
      <w:lvlText w:val="%1.%2.%3　"/>
      <w:lvlJc w:val="left"/>
      <w:pPr>
        <w:ind w:left="900" w:firstLine="0"/>
      </w:pPr>
      <w:rPr>
        <w:rFonts w:hint="eastAsia" w:ascii="黑体" w:hAnsi="Times New Roman" w:eastAsia="黑体"/>
        <w:b w:val="0"/>
        <w:i w:val="0"/>
        <w:sz w:val="32"/>
        <w:szCs w:val="32"/>
      </w:rPr>
    </w:lvl>
    <w:lvl w:ilvl="3" w:tentative="0">
      <w:start w:val="1"/>
      <w:numFmt w:val="decimal"/>
      <w:suff w:val="nothing"/>
      <w:lvlText w:val="%1.%2.%3.%4　"/>
      <w:lvlJc w:val="left"/>
      <w:pPr>
        <w:ind w:left="0" w:firstLine="0"/>
      </w:pPr>
      <w:rPr>
        <w:rFonts w:hint="eastAsia" w:ascii="黑体" w:hAnsi="Times New Roman" w:eastAsia="黑体"/>
        <w:b w:val="0"/>
        <w:i w:val="0"/>
        <w:sz w:val="32"/>
        <w:szCs w:val="32"/>
      </w:rPr>
    </w:lvl>
    <w:lvl w:ilvl="4" w:tentative="0">
      <w:start w:val="1"/>
      <w:numFmt w:val="decimal"/>
      <w:suff w:val="nothing"/>
      <w:lvlText w:val="%1.%2.%3.%4.%5　"/>
      <w:lvlJc w:val="left"/>
      <w:pPr>
        <w:ind w:left="0" w:firstLine="0"/>
      </w:pPr>
      <w:rPr>
        <w:rFonts w:hint="eastAsia" w:ascii="黑体" w:hAnsi="Times New Roman" w:eastAsia="黑体"/>
        <w:b w:val="0"/>
        <w:i w:val="0"/>
        <w:sz w:val="32"/>
        <w:szCs w:val="32"/>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7">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43FC5E0C"/>
    <w:multiLevelType w:val="singleLevel"/>
    <w:tmpl w:val="43FC5E0C"/>
    <w:lvl w:ilvl="0" w:tentative="0">
      <w:start w:val="6"/>
      <w:numFmt w:val="decimal"/>
      <w:suff w:val="space"/>
      <w:lvlText w:val="%1."/>
      <w:lvlJc w:val="left"/>
    </w:lvl>
  </w:abstractNum>
  <w:abstractNum w:abstractNumId="21">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2">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3">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16"/>
  </w:num>
  <w:num w:numId="5">
    <w:abstractNumId w:val="20"/>
  </w:num>
  <w:num w:numId="6">
    <w:abstractNumId w:val="9"/>
  </w:num>
  <w:num w:numId="7">
    <w:abstractNumId w:val="21"/>
  </w:num>
  <w:num w:numId="8">
    <w:abstractNumId w:val="23"/>
  </w:num>
  <w:num w:numId="9">
    <w:abstractNumId w:val="3"/>
  </w:num>
  <w:num w:numId="10">
    <w:abstractNumId w:val="22"/>
  </w:num>
  <w:num w:numId="11">
    <w:abstractNumId w:val="14"/>
  </w:num>
  <w:num w:numId="12">
    <w:abstractNumId w:val="8"/>
  </w:num>
  <w:num w:numId="13">
    <w:abstractNumId w:val="1"/>
  </w:num>
  <w:num w:numId="14">
    <w:abstractNumId w:val="15"/>
  </w:num>
  <w:num w:numId="15">
    <w:abstractNumId w:val="4"/>
  </w:num>
  <w:num w:numId="16">
    <w:abstractNumId w:val="7"/>
  </w:num>
  <w:num w:numId="17">
    <w:abstractNumId w:val="12"/>
  </w:num>
  <w:num w:numId="18">
    <w:abstractNumId w:val="19"/>
  </w:num>
  <w:num w:numId="19">
    <w:abstractNumId w:val="17"/>
  </w:num>
  <w:num w:numId="20">
    <w:abstractNumId w:val="0"/>
  </w:num>
  <w:num w:numId="21">
    <w:abstractNumId w:val="18"/>
  </w:num>
  <w:num w:numId="22">
    <w:abstractNumId w:val="6"/>
  </w:num>
  <w:num w:numId="23">
    <w:abstractNumId w:val="5"/>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1MDgzYzI2ZDM2MzkxMWNiYzlmNzM5MDg4MzMwN2QifQ=="/>
  </w:docVars>
  <w:rsids>
    <w:rsidRoot w:val="00172A27"/>
    <w:rsid w:val="00015C4E"/>
    <w:rsid w:val="00035CCF"/>
    <w:rsid w:val="000D1710"/>
    <w:rsid w:val="00112972"/>
    <w:rsid w:val="001253AF"/>
    <w:rsid w:val="00133A22"/>
    <w:rsid w:val="00171D50"/>
    <w:rsid w:val="00172A27"/>
    <w:rsid w:val="00177951"/>
    <w:rsid w:val="00191DEF"/>
    <w:rsid w:val="00192B2A"/>
    <w:rsid w:val="001D4F58"/>
    <w:rsid w:val="001F2CA3"/>
    <w:rsid w:val="00224177"/>
    <w:rsid w:val="00292CF5"/>
    <w:rsid w:val="00330B96"/>
    <w:rsid w:val="0036503F"/>
    <w:rsid w:val="00370D9F"/>
    <w:rsid w:val="003C145B"/>
    <w:rsid w:val="0041670E"/>
    <w:rsid w:val="0047122E"/>
    <w:rsid w:val="004862F5"/>
    <w:rsid w:val="00493E26"/>
    <w:rsid w:val="00536623"/>
    <w:rsid w:val="00571370"/>
    <w:rsid w:val="005E718E"/>
    <w:rsid w:val="006040DF"/>
    <w:rsid w:val="00611A4F"/>
    <w:rsid w:val="00641E35"/>
    <w:rsid w:val="00657996"/>
    <w:rsid w:val="00681F71"/>
    <w:rsid w:val="006E002B"/>
    <w:rsid w:val="006E69A2"/>
    <w:rsid w:val="006F0EA3"/>
    <w:rsid w:val="00722874"/>
    <w:rsid w:val="00754EBA"/>
    <w:rsid w:val="0079454F"/>
    <w:rsid w:val="0079659C"/>
    <w:rsid w:val="007A1BF7"/>
    <w:rsid w:val="007B3E56"/>
    <w:rsid w:val="007C09CD"/>
    <w:rsid w:val="007D1F2E"/>
    <w:rsid w:val="008B1D2F"/>
    <w:rsid w:val="008E7442"/>
    <w:rsid w:val="009637BD"/>
    <w:rsid w:val="009667DE"/>
    <w:rsid w:val="009A3166"/>
    <w:rsid w:val="009A546B"/>
    <w:rsid w:val="009C1824"/>
    <w:rsid w:val="00A00738"/>
    <w:rsid w:val="00A2333F"/>
    <w:rsid w:val="00A76997"/>
    <w:rsid w:val="00B72824"/>
    <w:rsid w:val="00C105FB"/>
    <w:rsid w:val="00C74CFA"/>
    <w:rsid w:val="00CB2087"/>
    <w:rsid w:val="00CB37B2"/>
    <w:rsid w:val="00CF0615"/>
    <w:rsid w:val="00D12293"/>
    <w:rsid w:val="00D55060"/>
    <w:rsid w:val="00DA0421"/>
    <w:rsid w:val="00DE4F57"/>
    <w:rsid w:val="00E00F5C"/>
    <w:rsid w:val="00E36618"/>
    <w:rsid w:val="00E764BD"/>
    <w:rsid w:val="00E81B70"/>
    <w:rsid w:val="00E86E6B"/>
    <w:rsid w:val="00F32EF3"/>
    <w:rsid w:val="00F67035"/>
    <w:rsid w:val="00F724DB"/>
    <w:rsid w:val="00FB2350"/>
    <w:rsid w:val="00FC057F"/>
    <w:rsid w:val="00FF04E6"/>
    <w:rsid w:val="013A7381"/>
    <w:rsid w:val="01667731"/>
    <w:rsid w:val="01722330"/>
    <w:rsid w:val="018C1643"/>
    <w:rsid w:val="01995B0E"/>
    <w:rsid w:val="01AA3BB2"/>
    <w:rsid w:val="01BA71AD"/>
    <w:rsid w:val="020C008E"/>
    <w:rsid w:val="02564A22"/>
    <w:rsid w:val="026B6B7A"/>
    <w:rsid w:val="027D65B9"/>
    <w:rsid w:val="02BD0FEE"/>
    <w:rsid w:val="032B4408"/>
    <w:rsid w:val="036C3448"/>
    <w:rsid w:val="039446EB"/>
    <w:rsid w:val="03967764"/>
    <w:rsid w:val="039D7B38"/>
    <w:rsid w:val="03C86237"/>
    <w:rsid w:val="03EB2406"/>
    <w:rsid w:val="044E7F85"/>
    <w:rsid w:val="04BC0C8B"/>
    <w:rsid w:val="04D631EA"/>
    <w:rsid w:val="05033704"/>
    <w:rsid w:val="057D6A8D"/>
    <w:rsid w:val="05A00C76"/>
    <w:rsid w:val="05CA6DB7"/>
    <w:rsid w:val="0604257B"/>
    <w:rsid w:val="061A329F"/>
    <w:rsid w:val="06231E4A"/>
    <w:rsid w:val="065A08FC"/>
    <w:rsid w:val="06641DF2"/>
    <w:rsid w:val="06E953A2"/>
    <w:rsid w:val="072440CC"/>
    <w:rsid w:val="07A81018"/>
    <w:rsid w:val="07C37441"/>
    <w:rsid w:val="07F92E63"/>
    <w:rsid w:val="0805549D"/>
    <w:rsid w:val="08085B15"/>
    <w:rsid w:val="081163FE"/>
    <w:rsid w:val="0850498D"/>
    <w:rsid w:val="086A1CC5"/>
    <w:rsid w:val="08732C15"/>
    <w:rsid w:val="091C51F6"/>
    <w:rsid w:val="092D7353"/>
    <w:rsid w:val="099B4BC7"/>
    <w:rsid w:val="099E72E2"/>
    <w:rsid w:val="09D46B2C"/>
    <w:rsid w:val="0A1A3201"/>
    <w:rsid w:val="0A3B38B1"/>
    <w:rsid w:val="0A7A4A3B"/>
    <w:rsid w:val="0A85103E"/>
    <w:rsid w:val="0AA442E9"/>
    <w:rsid w:val="0AA718E7"/>
    <w:rsid w:val="0AD55A2E"/>
    <w:rsid w:val="0B422D73"/>
    <w:rsid w:val="0BE77821"/>
    <w:rsid w:val="0BF13075"/>
    <w:rsid w:val="0C2A3F33"/>
    <w:rsid w:val="0C6D1390"/>
    <w:rsid w:val="0CD619C5"/>
    <w:rsid w:val="0CEB0F40"/>
    <w:rsid w:val="0D0F2158"/>
    <w:rsid w:val="0D6B3990"/>
    <w:rsid w:val="0D7A67F4"/>
    <w:rsid w:val="0D847E39"/>
    <w:rsid w:val="0E0017E4"/>
    <w:rsid w:val="0E3A2F25"/>
    <w:rsid w:val="0E7743BD"/>
    <w:rsid w:val="0E8527C0"/>
    <w:rsid w:val="0F601A19"/>
    <w:rsid w:val="0F8D0A0F"/>
    <w:rsid w:val="0F8D2546"/>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50E56"/>
    <w:rsid w:val="14F92252"/>
    <w:rsid w:val="14FB7A16"/>
    <w:rsid w:val="154A3B5B"/>
    <w:rsid w:val="16503853"/>
    <w:rsid w:val="167F4E7B"/>
    <w:rsid w:val="169C77DB"/>
    <w:rsid w:val="16C0581E"/>
    <w:rsid w:val="170A7C4A"/>
    <w:rsid w:val="171F677D"/>
    <w:rsid w:val="17214AAE"/>
    <w:rsid w:val="17792747"/>
    <w:rsid w:val="17951931"/>
    <w:rsid w:val="17F665A1"/>
    <w:rsid w:val="183316D2"/>
    <w:rsid w:val="185B558F"/>
    <w:rsid w:val="18C46E74"/>
    <w:rsid w:val="18D7564E"/>
    <w:rsid w:val="18FA70BF"/>
    <w:rsid w:val="191A70DD"/>
    <w:rsid w:val="193B1647"/>
    <w:rsid w:val="19687E48"/>
    <w:rsid w:val="196A6E29"/>
    <w:rsid w:val="1AE61844"/>
    <w:rsid w:val="1B186553"/>
    <w:rsid w:val="1B2E6D78"/>
    <w:rsid w:val="1BB05AD7"/>
    <w:rsid w:val="1C121A3A"/>
    <w:rsid w:val="1C3B697F"/>
    <w:rsid w:val="1C4B304A"/>
    <w:rsid w:val="1C7A05BE"/>
    <w:rsid w:val="1CA51F06"/>
    <w:rsid w:val="1CB9423F"/>
    <w:rsid w:val="1D770458"/>
    <w:rsid w:val="1DC92907"/>
    <w:rsid w:val="1E032835"/>
    <w:rsid w:val="1E157890"/>
    <w:rsid w:val="1E215213"/>
    <w:rsid w:val="1E3D18A3"/>
    <w:rsid w:val="1E895208"/>
    <w:rsid w:val="1EF830F5"/>
    <w:rsid w:val="1F104EC1"/>
    <w:rsid w:val="1FC71890"/>
    <w:rsid w:val="1FD962D7"/>
    <w:rsid w:val="1FF27D60"/>
    <w:rsid w:val="20000DDB"/>
    <w:rsid w:val="20700642"/>
    <w:rsid w:val="207A350E"/>
    <w:rsid w:val="21182345"/>
    <w:rsid w:val="212504BC"/>
    <w:rsid w:val="21751354"/>
    <w:rsid w:val="217F6F09"/>
    <w:rsid w:val="21DF0EC4"/>
    <w:rsid w:val="220566A5"/>
    <w:rsid w:val="2293656D"/>
    <w:rsid w:val="22B90DC0"/>
    <w:rsid w:val="22E06A62"/>
    <w:rsid w:val="22FD3D2D"/>
    <w:rsid w:val="23000E90"/>
    <w:rsid w:val="233D3868"/>
    <w:rsid w:val="23843AD1"/>
    <w:rsid w:val="23D87FEC"/>
    <w:rsid w:val="23E94A37"/>
    <w:rsid w:val="240011CC"/>
    <w:rsid w:val="240044B7"/>
    <w:rsid w:val="24125580"/>
    <w:rsid w:val="2441693B"/>
    <w:rsid w:val="249E0BC2"/>
    <w:rsid w:val="24B8164C"/>
    <w:rsid w:val="24DD02AC"/>
    <w:rsid w:val="24F84776"/>
    <w:rsid w:val="25820D4C"/>
    <w:rsid w:val="25D06300"/>
    <w:rsid w:val="260D6A3B"/>
    <w:rsid w:val="260E2CDF"/>
    <w:rsid w:val="264D14F0"/>
    <w:rsid w:val="26AE4872"/>
    <w:rsid w:val="271547BC"/>
    <w:rsid w:val="273A5696"/>
    <w:rsid w:val="27406218"/>
    <w:rsid w:val="274D7D89"/>
    <w:rsid w:val="27E141E6"/>
    <w:rsid w:val="280574D0"/>
    <w:rsid w:val="28836A4D"/>
    <w:rsid w:val="28930143"/>
    <w:rsid w:val="28CF1C92"/>
    <w:rsid w:val="28F04076"/>
    <w:rsid w:val="291D77F8"/>
    <w:rsid w:val="29B575A9"/>
    <w:rsid w:val="29C0110D"/>
    <w:rsid w:val="2AEE7F46"/>
    <w:rsid w:val="2B1A0641"/>
    <w:rsid w:val="2B532195"/>
    <w:rsid w:val="2B701970"/>
    <w:rsid w:val="2BE72E97"/>
    <w:rsid w:val="2C2E1E35"/>
    <w:rsid w:val="2C5A1872"/>
    <w:rsid w:val="2C9F5E1F"/>
    <w:rsid w:val="2CBC3E6A"/>
    <w:rsid w:val="2CE55B3A"/>
    <w:rsid w:val="2D1E6D44"/>
    <w:rsid w:val="2D346567"/>
    <w:rsid w:val="2DC766FE"/>
    <w:rsid w:val="2F103ABB"/>
    <w:rsid w:val="2F17377A"/>
    <w:rsid w:val="2F1B1165"/>
    <w:rsid w:val="2F72275C"/>
    <w:rsid w:val="2FEE23FB"/>
    <w:rsid w:val="2FF364CE"/>
    <w:rsid w:val="30245485"/>
    <w:rsid w:val="30925604"/>
    <w:rsid w:val="30B83A0A"/>
    <w:rsid w:val="30C01091"/>
    <w:rsid w:val="30CB2D3F"/>
    <w:rsid w:val="3135613A"/>
    <w:rsid w:val="3139707D"/>
    <w:rsid w:val="3163566D"/>
    <w:rsid w:val="32553A33"/>
    <w:rsid w:val="32595649"/>
    <w:rsid w:val="3292277C"/>
    <w:rsid w:val="32926C9A"/>
    <w:rsid w:val="32A629A8"/>
    <w:rsid w:val="32C739DA"/>
    <w:rsid w:val="337E0CCA"/>
    <w:rsid w:val="33A66B32"/>
    <w:rsid w:val="33FB6F4B"/>
    <w:rsid w:val="33FE4411"/>
    <w:rsid w:val="341D5FA7"/>
    <w:rsid w:val="34B35675"/>
    <w:rsid w:val="34D371A9"/>
    <w:rsid w:val="34FE3A59"/>
    <w:rsid w:val="357774A2"/>
    <w:rsid w:val="3648684B"/>
    <w:rsid w:val="364C66D0"/>
    <w:rsid w:val="36982F15"/>
    <w:rsid w:val="376E5128"/>
    <w:rsid w:val="377C6FEF"/>
    <w:rsid w:val="37FB02A2"/>
    <w:rsid w:val="383F1C02"/>
    <w:rsid w:val="38CF0459"/>
    <w:rsid w:val="3920101E"/>
    <w:rsid w:val="392A081F"/>
    <w:rsid w:val="394A7F75"/>
    <w:rsid w:val="3957385F"/>
    <w:rsid w:val="397320CF"/>
    <w:rsid w:val="39CF0F43"/>
    <w:rsid w:val="3A1B797B"/>
    <w:rsid w:val="3AF235BE"/>
    <w:rsid w:val="3B471B5C"/>
    <w:rsid w:val="3B582597"/>
    <w:rsid w:val="3BF037F2"/>
    <w:rsid w:val="3C536B7D"/>
    <w:rsid w:val="3C7D53CF"/>
    <w:rsid w:val="3C8A77BA"/>
    <w:rsid w:val="3CFC24D2"/>
    <w:rsid w:val="3D1E1969"/>
    <w:rsid w:val="3D841F81"/>
    <w:rsid w:val="3D8C44DD"/>
    <w:rsid w:val="3DCB6E3D"/>
    <w:rsid w:val="3E4203B8"/>
    <w:rsid w:val="3E4C416D"/>
    <w:rsid w:val="3EB25675"/>
    <w:rsid w:val="3EE92C2E"/>
    <w:rsid w:val="3F6936DD"/>
    <w:rsid w:val="3F8D37FE"/>
    <w:rsid w:val="400B1FA5"/>
    <w:rsid w:val="40444E2A"/>
    <w:rsid w:val="40477F08"/>
    <w:rsid w:val="4073644F"/>
    <w:rsid w:val="41014AC3"/>
    <w:rsid w:val="41235D2C"/>
    <w:rsid w:val="415770C8"/>
    <w:rsid w:val="41595B1E"/>
    <w:rsid w:val="41C34216"/>
    <w:rsid w:val="42185032"/>
    <w:rsid w:val="422159BE"/>
    <w:rsid w:val="424D57A6"/>
    <w:rsid w:val="42666D6B"/>
    <w:rsid w:val="429A5600"/>
    <w:rsid w:val="42BE0B33"/>
    <w:rsid w:val="42F27740"/>
    <w:rsid w:val="430968B2"/>
    <w:rsid w:val="434E3D93"/>
    <w:rsid w:val="436502E4"/>
    <w:rsid w:val="43B719FB"/>
    <w:rsid w:val="44170B67"/>
    <w:rsid w:val="44976A56"/>
    <w:rsid w:val="44BE457F"/>
    <w:rsid w:val="44CC04FB"/>
    <w:rsid w:val="45244CBC"/>
    <w:rsid w:val="453E0C6D"/>
    <w:rsid w:val="45786A0D"/>
    <w:rsid w:val="4586674A"/>
    <w:rsid w:val="45A81449"/>
    <w:rsid w:val="45B9436B"/>
    <w:rsid w:val="45BB117C"/>
    <w:rsid w:val="4616188D"/>
    <w:rsid w:val="46183C3F"/>
    <w:rsid w:val="46612B1C"/>
    <w:rsid w:val="46623CEE"/>
    <w:rsid w:val="46C10028"/>
    <w:rsid w:val="46E14BDC"/>
    <w:rsid w:val="474A2312"/>
    <w:rsid w:val="47570501"/>
    <w:rsid w:val="47FA7C0E"/>
    <w:rsid w:val="47FC4AB9"/>
    <w:rsid w:val="48807943"/>
    <w:rsid w:val="488A5C18"/>
    <w:rsid w:val="48B96CB1"/>
    <w:rsid w:val="497F5619"/>
    <w:rsid w:val="49A76574"/>
    <w:rsid w:val="4A463C50"/>
    <w:rsid w:val="4A9621B8"/>
    <w:rsid w:val="4A9A009E"/>
    <w:rsid w:val="4B165370"/>
    <w:rsid w:val="4B8C3BDB"/>
    <w:rsid w:val="4BCF57F6"/>
    <w:rsid w:val="4C46153E"/>
    <w:rsid w:val="4C473B3F"/>
    <w:rsid w:val="4C9C4528"/>
    <w:rsid w:val="4CBE3293"/>
    <w:rsid w:val="4CF141CA"/>
    <w:rsid w:val="4D013CFF"/>
    <w:rsid w:val="4D266D72"/>
    <w:rsid w:val="4D2A3728"/>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804CA1"/>
    <w:rsid w:val="50CC6DAA"/>
    <w:rsid w:val="50E83613"/>
    <w:rsid w:val="510B2F6E"/>
    <w:rsid w:val="512615DE"/>
    <w:rsid w:val="5129767D"/>
    <w:rsid w:val="515873A1"/>
    <w:rsid w:val="515F3303"/>
    <w:rsid w:val="51845FCE"/>
    <w:rsid w:val="52133847"/>
    <w:rsid w:val="52642B9B"/>
    <w:rsid w:val="530E43B4"/>
    <w:rsid w:val="531A4772"/>
    <w:rsid w:val="53DF79A2"/>
    <w:rsid w:val="5438314E"/>
    <w:rsid w:val="54596853"/>
    <w:rsid w:val="54D475D7"/>
    <w:rsid w:val="553629AF"/>
    <w:rsid w:val="55975A46"/>
    <w:rsid w:val="55B61960"/>
    <w:rsid w:val="55B9733A"/>
    <w:rsid w:val="55EB160A"/>
    <w:rsid w:val="564C5B20"/>
    <w:rsid w:val="5667364A"/>
    <w:rsid w:val="56A53D97"/>
    <w:rsid w:val="56F40992"/>
    <w:rsid w:val="570D09E8"/>
    <w:rsid w:val="570D2B79"/>
    <w:rsid w:val="57613663"/>
    <w:rsid w:val="57F66683"/>
    <w:rsid w:val="58021BEA"/>
    <w:rsid w:val="585216B5"/>
    <w:rsid w:val="58AA4377"/>
    <w:rsid w:val="58B008E9"/>
    <w:rsid w:val="58D42806"/>
    <w:rsid w:val="58F85DEC"/>
    <w:rsid w:val="59305585"/>
    <w:rsid w:val="595E7EB9"/>
    <w:rsid w:val="59705E43"/>
    <w:rsid w:val="5988712F"/>
    <w:rsid w:val="59D86790"/>
    <w:rsid w:val="5A1B2694"/>
    <w:rsid w:val="5A3D49F6"/>
    <w:rsid w:val="5A4A504A"/>
    <w:rsid w:val="5A920D26"/>
    <w:rsid w:val="5AC02CF9"/>
    <w:rsid w:val="5B1C4013"/>
    <w:rsid w:val="5B490B80"/>
    <w:rsid w:val="5BBC63D7"/>
    <w:rsid w:val="5BCF022B"/>
    <w:rsid w:val="5C3215B6"/>
    <w:rsid w:val="5CB24B00"/>
    <w:rsid w:val="5CDC7453"/>
    <w:rsid w:val="5CE943C9"/>
    <w:rsid w:val="5CEA1240"/>
    <w:rsid w:val="5D3A4C25"/>
    <w:rsid w:val="5D6F5686"/>
    <w:rsid w:val="5D792E01"/>
    <w:rsid w:val="5DA1540D"/>
    <w:rsid w:val="5DA75EED"/>
    <w:rsid w:val="5E051532"/>
    <w:rsid w:val="5E693A13"/>
    <w:rsid w:val="5EB21E66"/>
    <w:rsid w:val="5F096593"/>
    <w:rsid w:val="5F267161"/>
    <w:rsid w:val="6040385F"/>
    <w:rsid w:val="60732315"/>
    <w:rsid w:val="61053EB8"/>
    <w:rsid w:val="61131A15"/>
    <w:rsid w:val="61287C7B"/>
    <w:rsid w:val="617E62B6"/>
    <w:rsid w:val="618741B1"/>
    <w:rsid w:val="619175C9"/>
    <w:rsid w:val="61CC7BD3"/>
    <w:rsid w:val="61F1630E"/>
    <w:rsid w:val="62512A6C"/>
    <w:rsid w:val="628464FE"/>
    <w:rsid w:val="62892756"/>
    <w:rsid w:val="62D91FC0"/>
    <w:rsid w:val="62EE79FF"/>
    <w:rsid w:val="6350601E"/>
    <w:rsid w:val="636543C8"/>
    <w:rsid w:val="636E4515"/>
    <w:rsid w:val="63D32188"/>
    <w:rsid w:val="6421068E"/>
    <w:rsid w:val="643B5F4F"/>
    <w:rsid w:val="647C3B54"/>
    <w:rsid w:val="64AF5E31"/>
    <w:rsid w:val="65364D13"/>
    <w:rsid w:val="65507CD9"/>
    <w:rsid w:val="65530F79"/>
    <w:rsid w:val="665015E2"/>
    <w:rsid w:val="670D6F06"/>
    <w:rsid w:val="67702A4F"/>
    <w:rsid w:val="679A2D3F"/>
    <w:rsid w:val="679F16A8"/>
    <w:rsid w:val="67AE06E9"/>
    <w:rsid w:val="67EF22E9"/>
    <w:rsid w:val="68464DC5"/>
    <w:rsid w:val="68945B31"/>
    <w:rsid w:val="68A1788C"/>
    <w:rsid w:val="68F14D31"/>
    <w:rsid w:val="68F70355"/>
    <w:rsid w:val="699E556C"/>
    <w:rsid w:val="6A015961"/>
    <w:rsid w:val="6A476AD5"/>
    <w:rsid w:val="6A707ABA"/>
    <w:rsid w:val="6AA23D62"/>
    <w:rsid w:val="6B364629"/>
    <w:rsid w:val="6B3D425E"/>
    <w:rsid w:val="6B492045"/>
    <w:rsid w:val="6B4C08CF"/>
    <w:rsid w:val="6B6858DA"/>
    <w:rsid w:val="6C587AD2"/>
    <w:rsid w:val="6D0B1F10"/>
    <w:rsid w:val="6D48654E"/>
    <w:rsid w:val="6DCB03D5"/>
    <w:rsid w:val="6DCD73EF"/>
    <w:rsid w:val="6DD36928"/>
    <w:rsid w:val="6E012965"/>
    <w:rsid w:val="6E4305FF"/>
    <w:rsid w:val="6E6F0E86"/>
    <w:rsid w:val="6E8C245B"/>
    <w:rsid w:val="6E944978"/>
    <w:rsid w:val="6EBE425D"/>
    <w:rsid w:val="6EE232AF"/>
    <w:rsid w:val="6F517E7D"/>
    <w:rsid w:val="6F694EBD"/>
    <w:rsid w:val="6FAC33A0"/>
    <w:rsid w:val="6FED6386"/>
    <w:rsid w:val="70061FE5"/>
    <w:rsid w:val="70157E72"/>
    <w:rsid w:val="701A2DBF"/>
    <w:rsid w:val="70463B5D"/>
    <w:rsid w:val="7057154D"/>
    <w:rsid w:val="71520337"/>
    <w:rsid w:val="715B5814"/>
    <w:rsid w:val="715E705F"/>
    <w:rsid w:val="718069D9"/>
    <w:rsid w:val="719E142A"/>
    <w:rsid w:val="71C8684B"/>
    <w:rsid w:val="71E116BB"/>
    <w:rsid w:val="72490C82"/>
    <w:rsid w:val="72531664"/>
    <w:rsid w:val="72B44A6E"/>
    <w:rsid w:val="72C628DB"/>
    <w:rsid w:val="731D109A"/>
    <w:rsid w:val="732835E6"/>
    <w:rsid w:val="735E48D5"/>
    <w:rsid w:val="73865C9E"/>
    <w:rsid w:val="73CB2FE8"/>
    <w:rsid w:val="73EE3117"/>
    <w:rsid w:val="74136F1C"/>
    <w:rsid w:val="743B32DF"/>
    <w:rsid w:val="7441384E"/>
    <w:rsid w:val="7452328D"/>
    <w:rsid w:val="74572B77"/>
    <w:rsid w:val="74655073"/>
    <w:rsid w:val="74B055E6"/>
    <w:rsid w:val="74B55DA6"/>
    <w:rsid w:val="74EE1D0A"/>
    <w:rsid w:val="760404D5"/>
    <w:rsid w:val="762E2527"/>
    <w:rsid w:val="767D78F2"/>
    <w:rsid w:val="76B26A92"/>
    <w:rsid w:val="76E942BE"/>
    <w:rsid w:val="77006013"/>
    <w:rsid w:val="771F4C58"/>
    <w:rsid w:val="77256A83"/>
    <w:rsid w:val="775546DD"/>
    <w:rsid w:val="776958B0"/>
    <w:rsid w:val="77771F99"/>
    <w:rsid w:val="77BEBBA1"/>
    <w:rsid w:val="77E31CE9"/>
    <w:rsid w:val="77FC22F4"/>
    <w:rsid w:val="784136B1"/>
    <w:rsid w:val="788E24B4"/>
    <w:rsid w:val="789E3E62"/>
    <w:rsid w:val="78F61EF0"/>
    <w:rsid w:val="792B7DEB"/>
    <w:rsid w:val="7968098F"/>
    <w:rsid w:val="797E20AF"/>
    <w:rsid w:val="79865F2F"/>
    <w:rsid w:val="79980124"/>
    <w:rsid w:val="799F7E92"/>
    <w:rsid w:val="79AC1322"/>
    <w:rsid w:val="79B6113C"/>
    <w:rsid w:val="7A240BE7"/>
    <w:rsid w:val="7A3754BE"/>
    <w:rsid w:val="7A3B3819"/>
    <w:rsid w:val="7A421C40"/>
    <w:rsid w:val="7A6B1E4D"/>
    <w:rsid w:val="7A9554CF"/>
    <w:rsid w:val="7AF83CFD"/>
    <w:rsid w:val="7B04234E"/>
    <w:rsid w:val="7B1C3CCF"/>
    <w:rsid w:val="7B7B048A"/>
    <w:rsid w:val="7C5A4C10"/>
    <w:rsid w:val="7C693F22"/>
    <w:rsid w:val="7C6C5EE5"/>
    <w:rsid w:val="7CCA76AC"/>
    <w:rsid w:val="7D981A3D"/>
    <w:rsid w:val="7EBDA008"/>
    <w:rsid w:val="7EDA4F10"/>
    <w:rsid w:val="7F0542DB"/>
    <w:rsid w:val="7F0D3AEF"/>
    <w:rsid w:val="7F1F47DE"/>
    <w:rsid w:val="7F486550"/>
    <w:rsid w:val="7FE317CF"/>
    <w:rsid w:val="7FF3A9BB"/>
    <w:rsid w:val="95664A53"/>
    <w:rsid w:val="9FCE3FE8"/>
    <w:rsid w:val="DF678837"/>
    <w:rsid w:val="E7FDC794"/>
    <w:rsid w:val="EF58EC78"/>
    <w:rsid w:val="F09158F6"/>
    <w:rsid w:val="FBBF58B5"/>
    <w:rsid w:val="FDE55026"/>
    <w:rsid w:val="FDFFE755"/>
    <w:rsid w:val="FFDEFC18"/>
    <w:rsid w:val="FFDFC4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0" w:name="heading 6"/>
    <w:lsdException w:uiPriority="0" w:name="heading 7"/>
    <w:lsdException w:uiPriority="0" w:name="heading 8"/>
    <w:lsdException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unhideWhenUsed="0" w:uiPriority="0" w:semiHidden="0" w:name="Strong"/>
    <w:lsdException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7">
    <w:name w:val="heading 1"/>
    <w:next w:val="1"/>
    <w:link w:val="212"/>
    <w:qFormat/>
    <w:uiPriority w:val="0"/>
    <w:pPr>
      <w:keepNext/>
      <w:numPr>
        <w:ilvl w:val="0"/>
        <w:numId w:val="1"/>
      </w:numPr>
      <w:autoSpaceDE w:val="0"/>
      <w:autoSpaceDN w:val="0"/>
      <w:adjustRightInd w:val="0"/>
      <w:jc w:val="left"/>
      <w:outlineLvl w:val="0"/>
    </w:pPr>
    <w:rPr>
      <w:rFonts w:ascii="仿宋_GB2312" w:hAnsi="Times New Roman" w:eastAsia="仿宋_GB2312" w:cs="Times New Roman"/>
      <w:b/>
      <w:bCs/>
      <w:color w:val="000000"/>
      <w:kern w:val="0"/>
      <w:sz w:val="28"/>
      <w:szCs w:val="20"/>
      <w:lang w:val="en-US" w:eastAsia="zh-CN" w:bidi="ar-SA"/>
    </w:rPr>
  </w:style>
  <w:style w:type="paragraph" w:styleId="8">
    <w:name w:val="heading 2"/>
    <w:next w:val="1"/>
    <w:link w:val="214"/>
    <w:qFormat/>
    <w:uiPriority w:val="0"/>
    <w:pPr>
      <w:keepNext/>
      <w:keepLines/>
      <w:numPr>
        <w:ilvl w:val="1"/>
        <w:numId w:val="1"/>
      </w:numPr>
      <w:spacing w:before="120" w:after="120" w:line="360" w:lineRule="auto"/>
      <w:jc w:val="center"/>
      <w:outlineLvl w:val="1"/>
    </w:pPr>
    <w:rPr>
      <w:rFonts w:ascii="Arial" w:hAnsi="Arial" w:eastAsia="宋体" w:cs="Times New Roman"/>
      <w:b/>
      <w:bCs/>
      <w:sz w:val="28"/>
      <w:szCs w:val="32"/>
      <w:lang w:val="en-US" w:eastAsia="zh-CN" w:bidi="ar-SA"/>
    </w:rPr>
  </w:style>
  <w:style w:type="paragraph" w:styleId="9">
    <w:name w:val="heading 3"/>
    <w:next w:val="1"/>
    <w:qFormat/>
    <w:uiPriority w:val="0"/>
    <w:pPr>
      <w:keepNext/>
      <w:keepLines/>
      <w:numPr>
        <w:ilvl w:val="2"/>
        <w:numId w:val="1"/>
      </w:numPr>
      <w:spacing w:before="120" w:after="120" w:line="360" w:lineRule="auto"/>
      <w:jc w:val="center"/>
      <w:outlineLvl w:val="2"/>
    </w:pPr>
    <w:rPr>
      <w:rFonts w:ascii="宋体" w:hAnsi="Times New Roman" w:eastAsia="宋体" w:cs="Times New Roman"/>
      <w:b/>
      <w:bCs/>
      <w:sz w:val="24"/>
      <w:szCs w:val="32"/>
      <w:lang w:val="en-US" w:eastAsia="zh-CN" w:bidi="ar-SA"/>
    </w:rPr>
  </w:style>
  <w:style w:type="paragraph" w:styleId="10">
    <w:name w:val="heading 4"/>
    <w:next w:val="1"/>
    <w:qFormat/>
    <w:uiPriority w:val="0"/>
    <w:pPr>
      <w:keepNext/>
      <w:keepLines/>
      <w:spacing w:line="360" w:lineRule="auto"/>
      <w:outlineLvl w:val="3"/>
    </w:pPr>
    <w:rPr>
      <w:rFonts w:ascii="Arial" w:hAnsi="Arial" w:eastAsia="宋体" w:cs="Times New Roman"/>
      <w:b/>
      <w:lang w:val="en-US" w:eastAsia="zh-CN" w:bidi="ar-SA"/>
    </w:rPr>
  </w:style>
  <w:style w:type="paragraph" w:styleId="11">
    <w:name w:val="heading 5"/>
    <w:next w:val="1"/>
    <w:qFormat/>
    <w:uiPriority w:val="0"/>
    <w:pPr>
      <w:keepNext/>
      <w:keepLines/>
      <w:numPr>
        <w:ilvl w:val="4"/>
        <w:numId w:val="2"/>
      </w:numPr>
      <w:adjustRightInd w:val="0"/>
      <w:spacing w:before="280" w:after="290" w:line="376" w:lineRule="atLeast"/>
      <w:outlineLvl w:val="4"/>
    </w:pPr>
    <w:rPr>
      <w:rFonts w:ascii="Times New Roman" w:hAnsi="Times New Roman" w:eastAsia="宋体" w:cs="Times New Roman"/>
      <w:b/>
      <w:kern w:val="0"/>
      <w:sz w:val="28"/>
      <w:lang w:val="en-US" w:eastAsia="zh-CN" w:bidi="ar-SA"/>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spacing w:after="120"/>
      <w:ind w:left="420" w:leftChars="200" w:firstLine="420"/>
    </w:pPr>
    <w:rPr>
      <w:rFonts w:ascii="Times New Roman" w:hAnsi="Times New Roman" w:eastAsia="宋体" w:cs="Times New Roman"/>
      <w:color w:val="000000"/>
      <w:kern w:val="0"/>
      <w:sz w:val="24"/>
      <w:lang w:val="en-US" w:eastAsia="zh-CN" w:bidi="ar-SA"/>
    </w:rPr>
  </w:style>
  <w:style w:type="paragraph" w:styleId="3">
    <w:name w:val="Body Text Indent"/>
    <w:basedOn w:val="1"/>
    <w:next w:val="2"/>
    <w:qFormat/>
    <w:uiPriority w:val="0"/>
    <w:pPr>
      <w:ind w:firstLine="200" w:firstLineChars="200"/>
      <w:jc w:val="left"/>
    </w:pPr>
    <w:rPr>
      <w:rFonts w:ascii="仿宋_GB2312" w:hAnsi="Times New Roman" w:eastAsia="仿宋_GB2312" w:cs="Times New Roman"/>
      <w:sz w:val="28"/>
      <w:lang w:val="en-US" w:eastAsia="zh-CN" w:bidi="ar-SA"/>
    </w:rPr>
  </w:style>
  <w:style w:type="paragraph" w:styleId="4">
    <w:name w:val="Body Text First Indent"/>
    <w:basedOn w:val="5"/>
    <w:next w:val="1"/>
    <w:qFormat/>
    <w:uiPriority w:val="0"/>
    <w:pPr>
      <w:spacing w:beforeLines="50" w:after="0" w:line="300" w:lineRule="auto"/>
      <w:ind w:firstLine="200" w:firstLineChars="200"/>
    </w:pPr>
    <w:rPr>
      <w:rFonts w:ascii="楷体_GB2312" w:hAnsi="Times New Roman" w:eastAsia="楷体_GB2312" w:cs="Times New Roman"/>
      <w:spacing w:val="4"/>
      <w:szCs w:val="20"/>
      <w:lang w:val="en-US" w:eastAsia="zh-CN" w:bidi="ar-SA"/>
    </w:rPr>
  </w:style>
  <w:style w:type="paragraph" w:styleId="5">
    <w:name w:val="Body Text"/>
    <w:basedOn w:val="1"/>
    <w:next w:val="6"/>
    <w:qFormat/>
    <w:uiPriority w:val="0"/>
    <w:pPr>
      <w:spacing w:after="120"/>
    </w:pPr>
    <w:rPr>
      <w:rFonts w:ascii="Times New Roman" w:hAnsi="Times New Roman" w:eastAsia="宋体" w:cs="Times New Roman"/>
      <w:lang w:val="en-US" w:eastAsia="zh-CN" w:bidi="ar-SA"/>
    </w:rPr>
  </w:style>
  <w:style w:type="paragraph" w:styleId="6">
    <w:name w:val="Title"/>
    <w:basedOn w:val="1"/>
    <w:next w:val="1"/>
    <w:qFormat/>
    <w:uiPriority w:val="0"/>
    <w:pPr>
      <w:adjustRightInd w:val="0"/>
      <w:spacing w:line="360" w:lineRule="atLeast"/>
      <w:jc w:val="center"/>
      <w:outlineLvl w:val="0"/>
    </w:pPr>
    <w:rPr>
      <w:rFonts w:ascii="Arial" w:hAnsi="Arial" w:eastAsia="宋体" w:cs="Arial"/>
      <w:b/>
      <w:bCs/>
      <w:kern w:val="0"/>
      <w:sz w:val="32"/>
      <w:szCs w:val="32"/>
      <w:lang w:val="en-US" w:eastAsia="zh-CN" w:bidi="ar-SA"/>
    </w:rPr>
  </w:style>
  <w:style w:type="paragraph" w:styleId="12">
    <w:name w:val="toc 7"/>
    <w:next w:val="1"/>
    <w:qFormat/>
    <w:uiPriority w:val="0"/>
    <w:pPr>
      <w:ind w:left="1200" w:leftChars="1200"/>
    </w:pPr>
    <w:rPr>
      <w:rFonts w:ascii="Times New Roman" w:hAnsi="Times New Roman" w:eastAsia="宋体" w:cs="Times New Roman"/>
      <w:lang w:val="en-US" w:eastAsia="zh-CN" w:bidi="ar-SA"/>
    </w:rPr>
  </w:style>
  <w:style w:type="paragraph" w:styleId="13">
    <w:name w:val="Normal Indent"/>
    <w:qFormat/>
    <w:uiPriority w:val="0"/>
    <w:pPr>
      <w:spacing w:beforeLines="50" w:line="300" w:lineRule="auto"/>
      <w:ind w:firstLine="200" w:firstLineChars="200"/>
    </w:pPr>
    <w:rPr>
      <w:rFonts w:ascii="宋体" w:hAnsi="Times New Roman" w:eastAsia="宋体" w:cs="Times New Roman"/>
      <w:szCs w:val="20"/>
      <w:lang w:val="en-US" w:eastAsia="zh-CN" w:bidi="ar-SA"/>
    </w:rPr>
  </w:style>
  <w:style w:type="paragraph" w:styleId="14">
    <w:name w:val="caption"/>
    <w:next w:val="1"/>
    <w:qFormat/>
    <w:uiPriority w:val="0"/>
    <w:pPr>
      <w:spacing w:before="120" w:after="120" w:line="340" w:lineRule="exact"/>
      <w:jc w:val="center"/>
    </w:pPr>
    <w:rPr>
      <w:rFonts w:ascii="Times New Roman" w:hAnsi="Times New Roman" w:eastAsia="宋体" w:cs="Times New Roman"/>
      <w:b/>
      <w:sz w:val="18"/>
      <w:szCs w:val="20"/>
      <w:lang w:val="en-US" w:eastAsia="zh-CN" w:bidi="ar-SA"/>
    </w:rPr>
  </w:style>
  <w:style w:type="paragraph" w:styleId="15">
    <w:name w:val="Document Map"/>
    <w:qFormat/>
    <w:uiPriority w:val="0"/>
    <w:pPr>
      <w:shd w:val="clear" w:color="auto" w:fill="000080"/>
    </w:pPr>
    <w:rPr>
      <w:rFonts w:ascii="Times New Roman" w:hAnsi="Times New Roman" w:eastAsia="宋体" w:cs="Times New Roman"/>
      <w:lang w:val="en-US" w:eastAsia="zh-CN" w:bidi="ar-SA"/>
    </w:rPr>
  </w:style>
  <w:style w:type="paragraph" w:styleId="16">
    <w:name w:val="toa heading"/>
    <w:next w:val="1"/>
    <w:semiHidden/>
    <w:qFormat/>
    <w:uiPriority w:val="0"/>
    <w:pPr>
      <w:spacing w:before="120"/>
    </w:pPr>
    <w:rPr>
      <w:rFonts w:ascii="Arial" w:hAnsi="Arial" w:eastAsia="宋体" w:cs="Arial"/>
      <w:sz w:val="24"/>
      <w:lang w:val="en-US" w:eastAsia="zh-CN" w:bidi="ar-SA"/>
    </w:rPr>
  </w:style>
  <w:style w:type="paragraph" w:styleId="17">
    <w:name w:val="annotation text"/>
    <w:basedOn w:val="1"/>
    <w:link w:val="210"/>
    <w:qFormat/>
    <w:uiPriority w:val="0"/>
    <w:pPr>
      <w:jc w:val="left"/>
    </w:pPr>
    <w:rPr>
      <w:rFonts w:ascii="Times New Roman" w:hAnsi="Times New Roman" w:eastAsia="宋体" w:cs="Times New Roman"/>
      <w:lang w:val="en-US" w:eastAsia="zh-CN" w:bidi="ar-SA"/>
    </w:rPr>
  </w:style>
  <w:style w:type="paragraph" w:styleId="18">
    <w:name w:val="toc 5"/>
    <w:basedOn w:val="1"/>
    <w:next w:val="1"/>
    <w:qFormat/>
    <w:uiPriority w:val="0"/>
    <w:pPr>
      <w:ind w:left="800" w:leftChars="800"/>
    </w:pPr>
    <w:rPr>
      <w:rFonts w:ascii="Times New Roman" w:hAnsi="Times New Roman" w:eastAsia="宋体" w:cs="Times New Roman"/>
      <w:lang w:val="en-US" w:eastAsia="zh-CN" w:bidi="ar-SA"/>
    </w:rPr>
  </w:style>
  <w:style w:type="paragraph" w:styleId="19">
    <w:name w:val="toc 3"/>
    <w:next w:val="1"/>
    <w:qFormat/>
    <w:uiPriority w:val="39"/>
    <w:pPr>
      <w:ind w:left="400" w:leftChars="400"/>
    </w:pPr>
    <w:rPr>
      <w:rFonts w:ascii="Times New Roman" w:hAnsi="Times New Roman" w:eastAsia="宋体" w:cs="Times New Roman"/>
      <w:lang w:val="en-US" w:eastAsia="zh-CN" w:bidi="ar-SA"/>
    </w:rPr>
  </w:style>
  <w:style w:type="paragraph" w:styleId="20">
    <w:name w:val="Plain Text"/>
    <w:next w:val="1"/>
    <w:link w:val="218"/>
    <w:qFormat/>
    <w:uiPriority w:val="0"/>
    <w:pPr>
      <w:autoSpaceDE w:val="0"/>
      <w:autoSpaceDN w:val="0"/>
      <w:adjustRightInd w:val="0"/>
      <w:jc w:val="left"/>
    </w:pPr>
    <w:rPr>
      <w:rFonts w:ascii="宋体" w:hAnsi="Times New Roman" w:eastAsia="宋体" w:cs="Times New Roman"/>
      <w:kern w:val="0"/>
      <w:sz w:val="20"/>
      <w:lang w:val="en-US" w:eastAsia="zh-CN" w:bidi="ar-SA"/>
    </w:rPr>
  </w:style>
  <w:style w:type="paragraph" w:styleId="21">
    <w:name w:val="toc 8"/>
    <w:next w:val="1"/>
    <w:qFormat/>
    <w:uiPriority w:val="0"/>
    <w:pPr>
      <w:ind w:left="1400" w:leftChars="1400"/>
    </w:pPr>
    <w:rPr>
      <w:rFonts w:ascii="Times New Roman" w:hAnsi="Times New Roman" w:eastAsia="宋体" w:cs="Times New Roman"/>
      <w:lang w:val="en-US" w:eastAsia="zh-CN" w:bidi="ar-SA"/>
    </w:rPr>
  </w:style>
  <w:style w:type="paragraph" w:styleId="22">
    <w:name w:val="Date"/>
    <w:next w:val="1"/>
    <w:qFormat/>
    <w:uiPriority w:val="0"/>
    <w:pPr>
      <w:ind w:left="2500" w:leftChars="2500"/>
    </w:pPr>
    <w:rPr>
      <w:rFonts w:ascii="仿宋_GB2312" w:hAnsi="Times New Roman" w:eastAsia="仿宋_GB2312" w:cs="Times New Roman"/>
      <w:sz w:val="28"/>
      <w:lang w:val="en-US" w:eastAsia="zh-CN" w:bidi="ar-SA"/>
    </w:rPr>
  </w:style>
  <w:style w:type="paragraph" w:styleId="23">
    <w:name w:val="Body Text Indent 2"/>
    <w:qFormat/>
    <w:uiPriority w:val="0"/>
    <w:pPr>
      <w:spacing w:line="60" w:lineRule="auto"/>
      <w:ind w:firstLine="128" w:firstLineChars="128"/>
    </w:pPr>
    <w:rPr>
      <w:rFonts w:ascii="仿宋_GB2312" w:hAnsi="Times New Roman" w:eastAsia="仿宋_GB2312" w:cs="Times New Roman"/>
      <w:sz w:val="28"/>
      <w:lang w:val="en-US" w:eastAsia="zh-CN" w:bidi="ar-SA"/>
    </w:rPr>
  </w:style>
  <w:style w:type="paragraph" w:styleId="24">
    <w:name w:val="Balloon Text"/>
    <w:qFormat/>
    <w:uiPriority w:val="0"/>
    <w:rPr>
      <w:rFonts w:ascii="Times New Roman" w:hAnsi="Times New Roman" w:eastAsia="宋体" w:cs="Times New Roman"/>
      <w:sz w:val="18"/>
      <w:szCs w:val="18"/>
      <w:lang w:val="en-US" w:eastAsia="zh-CN" w:bidi="ar-SA"/>
    </w:rPr>
  </w:style>
  <w:style w:type="paragraph" w:styleId="25">
    <w:name w:val="footer"/>
    <w:link w:val="217"/>
    <w:qFormat/>
    <w:uiPriority w:val="0"/>
    <w:pPr>
      <w:adjustRightInd w:val="0"/>
      <w:spacing w:line="240" w:lineRule="atLeast"/>
      <w:jc w:val="left"/>
    </w:pPr>
    <w:rPr>
      <w:rFonts w:ascii="Times New Roman" w:hAnsi="Times New Roman" w:eastAsia="宋体" w:cs="Times New Roman"/>
      <w:kern w:val="0"/>
      <w:sz w:val="18"/>
      <w:szCs w:val="20"/>
      <w:lang w:val="en-US" w:eastAsia="zh-CN" w:bidi="ar-SA"/>
    </w:rPr>
  </w:style>
  <w:style w:type="paragraph" w:styleId="26">
    <w:name w:val="header"/>
    <w:link w:val="213"/>
    <w:qFormat/>
    <w:uiPriority w:val="99"/>
    <w:pPr>
      <w:pBdr>
        <w:bottom w:val="single" w:color="auto" w:sz="6" w:space="1"/>
      </w:pBdr>
      <w:adjustRightInd w:val="0"/>
      <w:spacing w:line="240" w:lineRule="atLeast"/>
      <w:jc w:val="center"/>
    </w:pPr>
    <w:rPr>
      <w:rFonts w:ascii="Times New Roman" w:hAnsi="Times New Roman" w:eastAsia="宋体" w:cs="Times New Roman"/>
      <w:kern w:val="0"/>
      <w:sz w:val="18"/>
      <w:szCs w:val="20"/>
      <w:lang w:val="en-US" w:eastAsia="zh-CN" w:bidi="ar-SA"/>
    </w:rPr>
  </w:style>
  <w:style w:type="paragraph" w:styleId="27">
    <w:name w:val="toc 1"/>
    <w:next w:val="1"/>
    <w:qFormat/>
    <w:uiPriority w:val="39"/>
    <w:rPr>
      <w:rFonts w:ascii="Times New Roman" w:hAnsi="Times New Roman" w:eastAsia="宋体" w:cs="Times New Roman"/>
      <w:lang w:val="en-US" w:eastAsia="zh-CN" w:bidi="ar-SA"/>
    </w:rPr>
  </w:style>
  <w:style w:type="paragraph" w:styleId="28">
    <w:name w:val="toc 4"/>
    <w:next w:val="1"/>
    <w:qFormat/>
    <w:uiPriority w:val="0"/>
    <w:pPr>
      <w:ind w:left="600" w:leftChars="600"/>
    </w:pPr>
    <w:rPr>
      <w:rFonts w:ascii="Times New Roman" w:hAnsi="Times New Roman" w:eastAsia="宋体" w:cs="Times New Roman"/>
      <w:lang w:val="en-US" w:eastAsia="zh-CN" w:bidi="ar-SA"/>
    </w:rPr>
  </w:style>
  <w:style w:type="paragraph" w:styleId="29">
    <w:name w:val="Subtitle"/>
    <w:qFormat/>
    <w:uiPriority w:val="11"/>
    <w:pPr>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30">
    <w:name w:val="toc 6"/>
    <w:next w:val="1"/>
    <w:qFormat/>
    <w:uiPriority w:val="0"/>
    <w:pPr>
      <w:ind w:left="1000" w:leftChars="1000"/>
    </w:pPr>
    <w:rPr>
      <w:rFonts w:ascii="Times New Roman" w:hAnsi="Times New Roman" w:eastAsia="宋体" w:cs="Times New Roman"/>
      <w:lang w:val="en-US" w:eastAsia="zh-CN" w:bidi="ar-SA"/>
    </w:rPr>
  </w:style>
  <w:style w:type="paragraph" w:styleId="31">
    <w:name w:val="Body Text Indent 3"/>
    <w:qFormat/>
    <w:uiPriority w:val="0"/>
    <w:pPr>
      <w:spacing w:line="360" w:lineRule="auto"/>
      <w:ind w:firstLine="192" w:firstLineChars="192"/>
    </w:pPr>
    <w:rPr>
      <w:rFonts w:ascii="仿宋_GB2312" w:hAnsi="Times New Roman" w:eastAsia="仿宋_GB2312" w:cs="Times New Roman"/>
      <w:color w:val="3366FF"/>
      <w:sz w:val="24"/>
      <w:lang w:val="en-US" w:eastAsia="zh-CN" w:bidi="ar-SA"/>
    </w:rPr>
  </w:style>
  <w:style w:type="paragraph" w:styleId="32">
    <w:name w:val="toc 2"/>
    <w:next w:val="1"/>
    <w:qFormat/>
    <w:uiPriority w:val="39"/>
    <w:pPr>
      <w:ind w:left="60" w:firstLine="300"/>
    </w:pPr>
    <w:rPr>
      <w:rFonts w:ascii="Times New Roman" w:hAnsi="Times New Roman" w:eastAsia="宋体" w:cs="Times New Roman"/>
      <w:lang w:val="en-US" w:eastAsia="zh-CN" w:bidi="ar-SA"/>
    </w:rPr>
  </w:style>
  <w:style w:type="paragraph" w:styleId="33">
    <w:name w:val="toc 9"/>
    <w:next w:val="1"/>
    <w:qFormat/>
    <w:uiPriority w:val="0"/>
    <w:pPr>
      <w:ind w:left="1600" w:leftChars="1600"/>
    </w:pPr>
    <w:rPr>
      <w:rFonts w:ascii="Times New Roman" w:hAnsi="Times New Roman" w:eastAsia="宋体" w:cs="Times New Roman"/>
      <w:lang w:val="en-US" w:eastAsia="zh-CN" w:bidi="ar-SA"/>
    </w:rPr>
  </w:style>
  <w:style w:type="paragraph" w:styleId="34">
    <w:name w:val="Body Text 2"/>
    <w:qFormat/>
    <w:uiPriority w:val="0"/>
    <w:rPr>
      <w:rFonts w:ascii="宋体" w:hAnsi="Times New Roman" w:eastAsia="宋体" w:cs="Times New Roman"/>
      <w:sz w:val="13"/>
      <w:szCs w:val="20"/>
      <w:lang w:val="en-US" w:eastAsia="zh-CN" w:bidi="ar-SA"/>
    </w:rPr>
  </w:style>
  <w:style w:type="paragraph" w:styleId="35">
    <w:name w:val="Normal (Web)"/>
    <w:basedOn w:val="1"/>
    <w:qFormat/>
    <w:uiPriority w:val="0"/>
    <w:pPr>
      <w:spacing w:before="100" w:beforeAutospacing="1" w:after="100" w:afterAutospacing="1"/>
      <w:jc w:val="left"/>
    </w:pPr>
    <w:rPr>
      <w:rFonts w:ascii="Times New Roman" w:hAnsi="Times New Roman" w:eastAsia="宋体" w:cs="Times New Roman"/>
      <w:kern w:val="0"/>
      <w:sz w:val="24"/>
      <w:lang w:val="en-US" w:eastAsia="zh-CN" w:bidi="ar-SA"/>
    </w:rPr>
  </w:style>
  <w:style w:type="paragraph" w:styleId="36">
    <w:name w:val="annotation subject"/>
    <w:next w:val="17"/>
    <w:link w:val="215"/>
    <w:qFormat/>
    <w:uiPriority w:val="0"/>
    <w:rPr>
      <w:rFonts w:ascii="Times New Roman" w:hAnsi="Times New Roman" w:eastAsia="宋体" w:cs="Times New Roman"/>
      <w:b/>
      <w:bCs/>
      <w:lang w:val="en-US" w:eastAsia="zh-CN" w:bidi="ar-SA"/>
    </w:rPr>
  </w:style>
  <w:style w:type="table" w:styleId="3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qFormat/>
    <w:uiPriority w:val="0"/>
    <w:rPr>
      <w:sz w:val="21"/>
      <w:szCs w:val="21"/>
    </w:rPr>
  </w:style>
  <w:style w:type="paragraph" w:customStyle="1" w:styleId="44">
    <w:name w:val="Default"/>
    <w:basedOn w:val="6"/>
    <w:qFormat/>
    <w:uiPriority w:val="0"/>
    <w:pPr>
      <w:autoSpaceDE w:val="0"/>
      <w:autoSpaceDN w:val="0"/>
    </w:pPr>
    <w:rPr>
      <w:rFonts w:ascii="宋体" w:hAnsi="Times New Roman" w:cs="宋体"/>
      <w:color w:val="000000"/>
      <w:sz w:val="24"/>
      <w:szCs w:val="24"/>
    </w:rPr>
  </w:style>
  <w:style w:type="paragraph" w:customStyle="1" w:styleId="45">
    <w:name w:val="目录 51"/>
    <w:basedOn w:val="1"/>
    <w:qFormat/>
    <w:uiPriority w:val="39"/>
    <w:pPr>
      <w:ind w:left="840"/>
      <w:jc w:val="left"/>
    </w:pPr>
  </w:style>
  <w:style w:type="paragraph" w:customStyle="1" w:styleId="46">
    <w:name w:val="_Style 39"/>
    <w:basedOn w:val="7"/>
    <w:qFormat/>
    <w:uiPriority w:val="0"/>
    <w:pPr>
      <w:keepLines/>
      <w:widowControl/>
      <w:numPr>
        <w:ilvl w:val="0"/>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48">
    <w:name w:val="无间隔1"/>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kern w:val="0"/>
      <w:sz w:val="20"/>
      <w:szCs w:val="20"/>
    </w:rPr>
  </w:style>
  <w:style w:type="paragraph" w:customStyle="1" w:styleId="50">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51">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qFormat/>
    <w:uiPriority w:val="0"/>
    <w:pPr>
      <w:widowControl/>
      <w:pBdr>
        <w:bottom w:val="single" w:color="auto" w:sz="8" w:space="0"/>
      </w:pBdr>
      <w:spacing w:before="100" w:beforeAutospacing="1" w:after="100" w:afterAutospacing="1"/>
    </w:pPr>
    <w:rPr>
      <w:rFonts w:ascii="仿宋_GB2312" w:eastAsia="仿宋_GB2312"/>
      <w:kern w:val="0"/>
      <w:sz w:val="24"/>
    </w:rPr>
  </w:style>
  <w:style w:type="paragraph" w:customStyle="1" w:styleId="53">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kern w:val="0"/>
      <w:sz w:val="20"/>
      <w:szCs w:val="20"/>
    </w:rPr>
  </w:style>
  <w:style w:type="paragraph" w:customStyle="1" w:styleId="54">
    <w:name w:val="xl24"/>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5">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7">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8">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59">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60">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qFormat/>
    <w:uiPriority w:val="0"/>
    <w:pPr>
      <w:ind w:firstLine="420" w:firstLineChars="200"/>
    </w:pPr>
    <w:rPr>
      <w:rFonts w:ascii="Calibri" w:hAnsi="Calibri"/>
      <w:szCs w:val="22"/>
    </w:rPr>
  </w:style>
  <w:style w:type="paragraph" w:customStyle="1" w:styleId="62">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63">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64">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kern w:val="0"/>
      <w:sz w:val="20"/>
      <w:szCs w:val="20"/>
    </w:rPr>
  </w:style>
  <w:style w:type="paragraph" w:customStyle="1" w:styleId="66">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kern w:val="0"/>
      <w:sz w:val="20"/>
      <w:szCs w:val="20"/>
    </w:rPr>
  </w:style>
  <w:style w:type="paragraph" w:customStyle="1" w:styleId="67">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8">
    <w:name w:val="xl23"/>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kern w:val="0"/>
      <w:sz w:val="20"/>
      <w:szCs w:val="20"/>
    </w:rPr>
  </w:style>
  <w:style w:type="character" w:customStyle="1" w:styleId="109">
    <w:name w:val="批注文字 Char"/>
    <w:link w:val="17"/>
    <w:qFormat/>
    <w:uiPriority w:val="0"/>
    <w:rPr>
      <w:kern w:val="2"/>
      <w:sz w:val="21"/>
      <w:szCs w:val="24"/>
    </w:rPr>
  </w:style>
  <w:style w:type="character" w:customStyle="1" w:styleId="110">
    <w:name w:val="grame"/>
    <w:basedOn w:val="39"/>
    <w:qFormat/>
    <w:uiPriority w:val="0"/>
  </w:style>
  <w:style w:type="character" w:customStyle="1" w:styleId="111">
    <w:name w:val="标题 1 Char"/>
    <w:link w:val="7"/>
    <w:qFormat/>
    <w:uiPriority w:val="0"/>
    <w:rPr>
      <w:rFonts w:ascii="仿宋_GB2312" w:eastAsia="仿宋_GB2312"/>
      <w:b/>
      <w:bCs/>
      <w:color w:val="000000"/>
      <w:kern w:val="0"/>
      <w:sz w:val="28"/>
      <w:szCs w:val="20"/>
    </w:rPr>
  </w:style>
  <w:style w:type="character" w:customStyle="1" w:styleId="112">
    <w:name w:val="页眉 Char"/>
    <w:link w:val="26"/>
    <w:qFormat/>
    <w:uiPriority w:val="99"/>
    <w:rPr>
      <w:sz w:val="18"/>
    </w:rPr>
  </w:style>
  <w:style w:type="character" w:customStyle="1" w:styleId="113">
    <w:name w:val="标题 2 Char"/>
    <w:link w:val="8"/>
    <w:qFormat/>
    <w:uiPriority w:val="0"/>
    <w:rPr>
      <w:rFonts w:ascii="Arial" w:hAnsi="Arial"/>
      <w:b/>
      <w:bCs/>
      <w:kern w:val="2"/>
      <w:sz w:val="28"/>
      <w:szCs w:val="32"/>
    </w:rPr>
  </w:style>
  <w:style w:type="character" w:customStyle="1" w:styleId="114">
    <w:name w:val="批注主题 Char"/>
    <w:link w:val="36"/>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Char"/>
    <w:link w:val="25"/>
    <w:qFormat/>
    <w:uiPriority w:val="0"/>
    <w:rPr>
      <w:rFonts w:eastAsia="宋体"/>
      <w:sz w:val="18"/>
      <w:lang w:bidi="ar-SA"/>
    </w:rPr>
  </w:style>
  <w:style w:type="character" w:customStyle="1" w:styleId="117">
    <w:name w:val="纯文本 Char"/>
    <w:link w:val="20"/>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pPr>
    <w:rPr>
      <w:rFonts w:ascii="Arial" w:hAnsi="Arial" w:eastAsia="仿宋"/>
      <w:sz w:val="24"/>
    </w:rPr>
  </w:style>
  <w:style w:type="paragraph" w:customStyle="1" w:styleId="123">
    <w:name w:val="正文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qFormat/>
    <w:uiPriority w:val="0"/>
    <w:pPr>
      <w:widowControl/>
      <w:spacing w:line="360" w:lineRule="auto"/>
      <w:ind w:left="840" w:leftChars="400" w:firstLine="200" w:firstLineChars="200"/>
      <w:jc w:val="left"/>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ind w:firstLine="420" w:firstLineChars="200"/>
    </w:pPr>
    <w:rPr>
      <w:rFonts w:hint="eastAsia" w:ascii="等线" w:hAnsi="等线" w:eastAsia="等线"/>
      <w:szCs w:val="22"/>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semiHidden/>
    <w:qFormat/>
    <w:uiPriority w:val="0"/>
    <w:pPr>
      <w:ind w:firstLine="525"/>
    </w:pPr>
    <w:rPr>
      <w:rFonts w:ascii="宋体" w:hAnsi="宋体"/>
    </w:rPr>
  </w:style>
  <w:style w:type="paragraph" w:customStyle="1" w:styleId="136">
    <w:name w:val="Normal_0"/>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qFormat/>
    <w:uiPriority w:val="34"/>
    <w:pPr>
      <w:ind w:left="720"/>
      <w:contextualSpacing/>
    </w:pPr>
    <w:rPr>
      <w:rFonts w:ascii="Times New Roman" w:hAnsi="Times New Roman" w:eastAsia="宋体" w:cs="Times New Roman"/>
      <w:lang w:val="en-US" w:eastAsia="zh-CN" w:bidi="ar-SA"/>
    </w:r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 w:type="paragraph" w:customStyle="1" w:styleId="143">
    <w:name w:val="一级条标题"/>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144">
    <w:name w:val="章标题"/>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 w:type="paragraph" w:customStyle="1" w:styleId="145">
    <w:name w:val="目录 511"/>
    <w:qFormat/>
    <w:uiPriority w:val="39"/>
    <w:pPr>
      <w:ind w:left="840"/>
      <w:jc w:val="left"/>
    </w:pPr>
    <w:rPr>
      <w:rFonts w:ascii="Times New Roman" w:hAnsi="Times New Roman" w:eastAsia="宋体" w:cs="Times New Roman"/>
      <w:lang w:val="en-US" w:eastAsia="zh-CN" w:bidi="ar-SA"/>
    </w:rPr>
  </w:style>
  <w:style w:type="paragraph" w:customStyle="1" w:styleId="146">
    <w:name w:val="Default1"/>
    <w:qFormat/>
    <w:uiPriority w:val="0"/>
    <w:pPr>
      <w:autoSpaceDE w:val="0"/>
      <w:autoSpaceDN w:val="0"/>
    </w:pPr>
    <w:rPr>
      <w:rFonts w:ascii="宋体" w:hAnsi="Times New Roman" w:eastAsia="宋体" w:cs="宋体"/>
      <w:color w:val="000000"/>
      <w:sz w:val="24"/>
      <w:szCs w:val="24"/>
      <w:lang w:val="en-US" w:eastAsia="zh-CN" w:bidi="ar-SA"/>
    </w:rPr>
  </w:style>
  <w:style w:type="paragraph" w:customStyle="1" w:styleId="147">
    <w:name w:val="_Style 391"/>
    <w:qFormat/>
    <w:uiPriority w:val="0"/>
    <w:pPr>
      <w:keepLines/>
      <w:widowControl/>
      <w:numPr>
        <w:ilvl w:val="0"/>
        <w:numId w:val="0"/>
      </w:numPr>
      <w:autoSpaceDE/>
      <w:autoSpaceDN/>
      <w:adjustRightInd/>
      <w:spacing w:before="480" w:line="276" w:lineRule="auto"/>
      <w:outlineLvl w:val="9"/>
    </w:pPr>
    <w:rPr>
      <w:rFonts w:ascii="Cambria" w:hAnsi="Cambria" w:eastAsia="宋体" w:cs="Times New Roman"/>
      <w:color w:val="365F91"/>
      <w:szCs w:val="28"/>
      <w:lang w:val="en-US" w:eastAsia="zh-CN" w:bidi="ar-SA"/>
    </w:rPr>
  </w:style>
  <w:style w:type="paragraph" w:customStyle="1" w:styleId="148">
    <w:name w:val="xl37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49">
    <w:name w:val="无间隔12"/>
    <w:qFormat/>
    <w:uiPriority w:val="0"/>
    <w:rPr>
      <w:rFonts w:ascii="Times New Roman" w:hAnsi="Times New Roman" w:eastAsia="宋体" w:cs="Times New Roman"/>
      <w:kern w:val="2"/>
      <w:sz w:val="22"/>
      <w:szCs w:val="22"/>
      <w:lang w:val="en-US" w:eastAsia="zh-CN" w:bidi="ar-SA"/>
    </w:rPr>
  </w:style>
  <w:style w:type="paragraph" w:customStyle="1" w:styleId="150">
    <w:name w:val="xl55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1">
    <w:name w:val="xl50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52">
    <w:name w:val="xl27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53">
    <w:name w:val="xl291"/>
    <w:qFormat/>
    <w:uiPriority w:val="0"/>
    <w:pPr>
      <w:widowControl/>
      <w:pBdr>
        <w:bottom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154">
    <w:name w:val="xl52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5">
    <w:name w:val="xl24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6">
    <w:name w:val="xl43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57">
    <w:name w:val="xl33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8">
    <w:name w:val="xl41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9">
    <w:name w:val="xl58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60">
    <w:name w:val="xl35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61">
    <w:name w:val="font92"/>
    <w:qFormat/>
    <w:uiPriority w:val="0"/>
    <w:pPr>
      <w:widowControl/>
      <w:spacing w:before="100" w:beforeAutospacing="1" w:after="100" w:afterAutospacing="1"/>
      <w:jc w:val="left"/>
    </w:pPr>
    <w:rPr>
      <w:rFonts w:ascii="宋体" w:hAnsi="Times New Roman" w:eastAsia="宋体" w:cs="Times New Roman"/>
      <w:b/>
      <w:bCs/>
      <w:color w:val="000000"/>
      <w:kern w:val="0"/>
      <w:sz w:val="18"/>
      <w:szCs w:val="18"/>
      <w:lang w:val="en-US" w:eastAsia="zh-CN" w:bidi="ar-SA"/>
    </w:rPr>
  </w:style>
  <w:style w:type="paragraph" w:customStyle="1" w:styleId="162">
    <w:name w:val="列出段落12"/>
    <w:qFormat/>
    <w:uiPriority w:val="0"/>
    <w:pPr>
      <w:ind w:firstLine="420" w:firstLineChars="200"/>
    </w:pPr>
    <w:rPr>
      <w:rFonts w:ascii="Calibri" w:hAnsi="Calibri" w:eastAsia="宋体" w:cs="Times New Roman"/>
      <w:szCs w:val="22"/>
      <w:lang w:val="en-US" w:eastAsia="zh-CN" w:bidi="ar-SA"/>
    </w:rPr>
  </w:style>
  <w:style w:type="paragraph" w:customStyle="1" w:styleId="163">
    <w:name w:val="xl53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64">
    <w:name w:val="xl40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65">
    <w:name w:val="xl301"/>
    <w:qFormat/>
    <w:uiPriority w:val="0"/>
    <w:pPr>
      <w:widowControl/>
      <w:pBdr>
        <w:bottom w:val="single" w:color="auto" w:sz="8" w:space="0"/>
      </w:pBdr>
      <w:spacing w:before="100" w:beforeAutospacing="1" w:after="100" w:afterAutospacing="1"/>
      <w:jc w:val="left"/>
    </w:pPr>
    <w:rPr>
      <w:rFonts w:ascii="仿宋_GB2312" w:hAnsi="Times New Roman" w:eastAsia="仿宋_GB2312" w:cs="Times New Roman"/>
      <w:kern w:val="0"/>
      <w:sz w:val="24"/>
      <w:lang w:val="en-US" w:eastAsia="zh-CN" w:bidi="ar-SA"/>
    </w:rPr>
  </w:style>
  <w:style w:type="paragraph" w:customStyle="1" w:styleId="166">
    <w:name w:val="xl49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67">
    <w:name w:val="xl63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68">
    <w:name w:val="Bullet_Title1"/>
    <w:qFormat/>
    <w:uiPriority w:val="0"/>
    <w:pPr>
      <w:numPr>
        <w:ilvl w:val="0"/>
        <w:numId w:val="3"/>
      </w:numPr>
      <w:spacing w:after="78" w:line="300" w:lineRule="auto"/>
    </w:pPr>
    <w:rPr>
      <w:rFonts w:ascii="Arial Narrow" w:hAnsi="Arial Narrow" w:eastAsia="宋体" w:cs="Times New Roman"/>
      <w:sz w:val="24"/>
      <w:szCs w:val="20"/>
      <w:lang w:val="en-US" w:eastAsia="zh-CN" w:bidi="ar-SA"/>
    </w:rPr>
  </w:style>
  <w:style w:type="paragraph" w:customStyle="1" w:styleId="169">
    <w:name w:val="xl231"/>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170">
    <w:name w:val="xl28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71">
    <w:name w:val="xl56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2">
    <w:name w:val="xl57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3">
    <w:name w:val="xl61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74">
    <w:name w:val="xl59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5">
    <w:name w:val="无间隔111"/>
    <w:qFormat/>
    <w:uiPriority w:val="0"/>
    <w:rPr>
      <w:rFonts w:ascii="Times New Roman" w:hAnsi="Times New Roman" w:eastAsia="宋体" w:cs="Times New Roman"/>
      <w:kern w:val="2"/>
      <w:sz w:val="22"/>
      <w:szCs w:val="22"/>
      <w:lang w:val="en-US" w:eastAsia="zh-CN" w:bidi="ar-SA"/>
    </w:rPr>
  </w:style>
  <w:style w:type="paragraph" w:customStyle="1" w:styleId="176">
    <w:name w:val="xl38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77">
    <w:name w:val="Char2"/>
    <w:qFormat/>
    <w:uiPriority w:val="0"/>
    <w:rPr>
      <w:rFonts w:ascii="Times New Roman" w:hAnsi="Times New Roman" w:eastAsia="宋体" w:cs="Times New Roman"/>
      <w:lang w:val="en-US" w:eastAsia="zh-CN" w:bidi="ar-SA"/>
    </w:rPr>
  </w:style>
  <w:style w:type="paragraph" w:customStyle="1" w:styleId="178">
    <w:name w:val="xl26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79">
    <w:name w:val="font62"/>
    <w:qFormat/>
    <w:uiPriority w:val="0"/>
    <w:pPr>
      <w:widowControl/>
      <w:spacing w:before="100" w:beforeAutospacing="1" w:after="100" w:afterAutospacing="1"/>
      <w:jc w:val="left"/>
    </w:pPr>
    <w:rPr>
      <w:rFonts w:ascii="宋体" w:hAnsi="Times New Roman" w:eastAsia="宋体" w:cs="Times New Roman"/>
      <w:color w:val="0000FF"/>
      <w:kern w:val="0"/>
      <w:sz w:val="24"/>
      <w:u w:val="single"/>
      <w:lang w:val="en-US" w:eastAsia="zh-CN" w:bidi="ar-SA"/>
    </w:rPr>
  </w:style>
  <w:style w:type="paragraph" w:customStyle="1" w:styleId="180">
    <w:name w:val="列出段落111"/>
    <w:qFormat/>
    <w:uiPriority w:val="99"/>
    <w:pPr>
      <w:ind w:firstLine="420" w:firstLineChars="200"/>
    </w:pPr>
    <w:rPr>
      <w:rFonts w:ascii="Times New Roman" w:hAnsi="Times New Roman" w:eastAsia="宋体" w:cs="Times New Roman"/>
      <w:lang w:val="en-US" w:eastAsia="zh-CN" w:bidi="ar-SA"/>
    </w:rPr>
  </w:style>
  <w:style w:type="paragraph" w:customStyle="1" w:styleId="181">
    <w:name w:val="xl34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2">
    <w:name w:val="采购申报表备注1"/>
    <w:qFormat/>
    <w:uiPriority w:val="0"/>
    <w:rPr>
      <w:rFonts w:ascii="仿宋_GB2312" w:hAnsi="Times New Roman" w:eastAsia="仿宋_GB2312" w:cs="Times New Roman"/>
      <w:lang w:val="en-US" w:eastAsia="zh-CN" w:bidi="ar-SA"/>
    </w:rPr>
  </w:style>
  <w:style w:type="paragraph" w:customStyle="1" w:styleId="183">
    <w:name w:val="Char Char Char2 Char Char Char Char Char Char1"/>
    <w:qFormat/>
    <w:uiPriority w:val="0"/>
    <w:pPr>
      <w:snapToGrid w:val="0"/>
      <w:jc w:val="center"/>
    </w:pPr>
    <w:rPr>
      <w:rFonts w:ascii="Times New Roman" w:hAnsi="Times New Roman" w:eastAsia="宋体" w:cs="Times New Roman"/>
      <w:lang w:val="en-US" w:eastAsia="zh-CN" w:bidi="ar-SA"/>
    </w:rPr>
  </w:style>
  <w:style w:type="paragraph" w:customStyle="1" w:styleId="184">
    <w:name w:val="Char Char Char Char Char Char Char1"/>
    <w:qFormat/>
    <w:uiPriority w:val="0"/>
    <w:pPr>
      <w:snapToGrid w:val="0"/>
      <w:spacing w:line="360" w:lineRule="auto"/>
      <w:ind w:firstLine="200" w:firstLineChars="200"/>
    </w:pPr>
    <w:rPr>
      <w:rFonts w:ascii="Times New Roman" w:hAnsi="Times New Roman" w:eastAsia="宋体" w:cs="Times New Roman"/>
      <w:lang w:val="en-US" w:eastAsia="zh-CN" w:bidi="ar-SA"/>
    </w:rPr>
  </w:style>
  <w:style w:type="paragraph" w:customStyle="1" w:styleId="185">
    <w:name w:val="xl25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6">
    <w:name w:val="xl4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87">
    <w:name w:val="xl54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88">
    <w:name w:val="Char11"/>
    <w:qFormat/>
    <w:uiPriority w:val="0"/>
    <w:pPr>
      <w:widowControl/>
      <w:spacing w:after="160" w:line="240" w:lineRule="exact"/>
      <w:jc w:val="left"/>
    </w:pPr>
    <w:rPr>
      <w:rFonts w:ascii="Verdana" w:hAnsi="Verdana" w:eastAsia="仿宋_GB2312" w:cs="Times New Roman"/>
      <w:kern w:val="0"/>
      <w:sz w:val="24"/>
      <w:szCs w:val="20"/>
      <w:lang w:val="en-US" w:eastAsia="en-US" w:bidi="ar-SA"/>
    </w:rPr>
  </w:style>
  <w:style w:type="paragraph" w:customStyle="1" w:styleId="189">
    <w:name w:val="font82"/>
    <w:qFormat/>
    <w:uiPriority w:val="0"/>
    <w:pPr>
      <w:widowControl/>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90">
    <w:name w:val="xl45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1">
    <w:name w:val="Char Char Char Char Char Char Char Char Char Char1"/>
    <w:qFormat/>
    <w:uiPriority w:val="0"/>
    <w:rPr>
      <w:rFonts w:ascii="Tahoma" w:hAnsi="Tahoma" w:eastAsia="宋体" w:cs="Times New Roman"/>
      <w:sz w:val="24"/>
      <w:szCs w:val="20"/>
      <w:lang w:val="en-US" w:eastAsia="zh-CN" w:bidi="ar-SA"/>
    </w:rPr>
  </w:style>
  <w:style w:type="paragraph" w:customStyle="1" w:styleId="192">
    <w:name w:val="_Style 83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3">
    <w:name w:val="xl3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94">
    <w:name w:val="font5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195">
    <w:name w:val="xl48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96">
    <w:name w:val="xl39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7">
    <w:name w:val="xl62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98">
    <w:name w:val="采购申报表正文1"/>
    <w:qFormat/>
    <w:uiPriority w:val="0"/>
    <w:rPr>
      <w:rFonts w:ascii="仿宋_GB2312" w:hAnsi="Times New Roman" w:eastAsia="仿宋_GB2312" w:cs="Times New Roman"/>
      <w:szCs w:val="28"/>
      <w:lang w:val="en-US" w:eastAsia="zh-CN" w:bidi="ar-SA"/>
    </w:rPr>
  </w:style>
  <w:style w:type="paragraph" w:customStyle="1" w:styleId="199">
    <w:name w:val="Preformatted1"/>
    <w:qFormat/>
    <w:uiPriority w:val="0"/>
    <w:pPr>
      <w:autoSpaceDE w:val="0"/>
      <w:autoSpaceDN w:val="0"/>
      <w:adjustRightInd w:val="0"/>
      <w:jc w:val="left"/>
    </w:pPr>
    <w:rPr>
      <w:rFonts w:ascii="Courier New" w:hAnsi="Courier New" w:eastAsia="宋体" w:cs="Times New Roman"/>
      <w:kern w:val="0"/>
      <w:sz w:val="20"/>
      <w:lang w:val="en-US" w:eastAsia="zh-CN" w:bidi="ar-SA"/>
    </w:rPr>
  </w:style>
  <w:style w:type="paragraph" w:customStyle="1" w:styleId="200">
    <w:name w:val="xl64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1">
    <w:name w:val="xl471"/>
    <w:qFormat/>
    <w:uiPriority w:val="0"/>
    <w:pPr>
      <w:widowControl/>
      <w:pBdr>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202">
    <w:name w:val="xl32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hAnsi="Times New Roman" w:eastAsia="宋体" w:cs="Times New Roman"/>
      <w:b/>
      <w:bCs/>
      <w:kern w:val="0"/>
      <w:sz w:val="24"/>
      <w:lang w:val="en-US" w:eastAsia="zh-CN" w:bidi="ar-SA"/>
    </w:rPr>
  </w:style>
  <w:style w:type="paragraph" w:customStyle="1" w:styleId="203">
    <w:name w:val="font7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204">
    <w:name w:val="xl31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205">
    <w:name w:val="xl44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206">
    <w:name w:val="xl65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7">
    <w:name w:val="xl421"/>
    <w:qFormat/>
    <w:uiPriority w:val="0"/>
    <w:pPr>
      <w:widowControl/>
      <w:pBdr>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208">
    <w:name w:val="xl51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209">
    <w:name w:val="xl60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character" w:customStyle="1" w:styleId="210">
    <w:name w:val="批注文字 Char1"/>
    <w:link w:val="17"/>
    <w:qFormat/>
    <w:uiPriority w:val="0"/>
    <w:rPr>
      <w:kern w:val="2"/>
      <w:sz w:val="21"/>
      <w:szCs w:val="24"/>
    </w:rPr>
  </w:style>
  <w:style w:type="character" w:customStyle="1" w:styleId="211">
    <w:name w:val="grame1"/>
    <w:qFormat/>
    <w:uiPriority w:val="0"/>
  </w:style>
  <w:style w:type="character" w:customStyle="1" w:styleId="212">
    <w:name w:val="标题 1 Char1"/>
    <w:link w:val="7"/>
    <w:qFormat/>
    <w:uiPriority w:val="0"/>
    <w:rPr>
      <w:rFonts w:ascii="仿宋_GB2312" w:eastAsia="仿宋_GB2312"/>
      <w:b/>
      <w:bCs/>
      <w:color w:val="000000"/>
      <w:kern w:val="0"/>
      <w:sz w:val="28"/>
      <w:szCs w:val="20"/>
    </w:rPr>
  </w:style>
  <w:style w:type="character" w:customStyle="1" w:styleId="213">
    <w:name w:val="页眉 Char1"/>
    <w:link w:val="26"/>
    <w:qFormat/>
    <w:uiPriority w:val="99"/>
    <w:rPr>
      <w:sz w:val="18"/>
    </w:rPr>
  </w:style>
  <w:style w:type="character" w:customStyle="1" w:styleId="214">
    <w:name w:val="标题 2 Char1"/>
    <w:link w:val="8"/>
    <w:qFormat/>
    <w:uiPriority w:val="0"/>
    <w:rPr>
      <w:rFonts w:ascii="Arial" w:hAnsi="Arial"/>
      <w:b/>
      <w:bCs/>
      <w:kern w:val="2"/>
      <w:sz w:val="28"/>
      <w:szCs w:val="32"/>
    </w:rPr>
  </w:style>
  <w:style w:type="character" w:customStyle="1" w:styleId="215">
    <w:name w:val="批注主题 Char1"/>
    <w:link w:val="36"/>
    <w:qFormat/>
    <w:uiPriority w:val="0"/>
    <w:rPr>
      <w:b/>
      <w:bCs/>
      <w:kern w:val="2"/>
      <w:sz w:val="21"/>
      <w:szCs w:val="24"/>
    </w:rPr>
  </w:style>
  <w:style w:type="character" w:customStyle="1" w:styleId="216">
    <w:name w:val="dy_biao_content11"/>
    <w:qFormat/>
    <w:uiPriority w:val="0"/>
    <w:rPr>
      <w:rFonts w:hint="eastAsia" w:ascii="宋体" w:hAnsi="宋体" w:eastAsia="宋体"/>
      <w:sz w:val="24"/>
      <w:szCs w:val="24"/>
    </w:rPr>
  </w:style>
  <w:style w:type="character" w:customStyle="1" w:styleId="217">
    <w:name w:val="页脚 Char1"/>
    <w:link w:val="25"/>
    <w:qFormat/>
    <w:uiPriority w:val="0"/>
    <w:rPr>
      <w:rFonts w:eastAsia="宋体"/>
      <w:sz w:val="18"/>
      <w:lang w:bidi="ar-SA"/>
    </w:rPr>
  </w:style>
  <w:style w:type="character" w:customStyle="1" w:styleId="218">
    <w:name w:val="纯文本 Char1"/>
    <w:link w:val="20"/>
    <w:qFormat/>
    <w:uiPriority w:val="0"/>
    <w:rPr>
      <w:rFonts w:ascii="宋体" w:eastAsia="宋体"/>
      <w:szCs w:val="24"/>
      <w:lang w:val="en-US" w:eastAsia="zh-CN" w:bidi="ar-SA"/>
    </w:rPr>
  </w:style>
  <w:style w:type="paragraph" w:customStyle="1" w:styleId="219">
    <w:name w:val="cjk1"/>
    <w:qFormat/>
    <w:uiPriority w:val="0"/>
    <w:pPr>
      <w:widowControl/>
      <w:spacing w:before="100" w:beforeAutospacing="1" w:after="142" w:line="276" w:lineRule="auto"/>
    </w:pPr>
    <w:rPr>
      <w:rFonts w:ascii="宋体" w:hAnsi="宋体" w:eastAsia="宋体" w:cs="宋体"/>
      <w:color w:val="000000"/>
      <w:kern w:val="0"/>
      <w:sz w:val="20"/>
      <w:szCs w:val="20"/>
      <w:lang w:val="en-US" w:eastAsia="zh-CN" w:bidi="ar-SA"/>
    </w:rPr>
  </w:style>
  <w:style w:type="paragraph" w:customStyle="1" w:styleId="220">
    <w:name w:val="列出段落21"/>
    <w:qFormat/>
    <w:uiPriority w:val="1"/>
    <w:pPr>
      <w:spacing w:before="139"/>
      <w:ind w:left="738" w:firstLine="420"/>
    </w:pPr>
    <w:rPr>
      <w:rFonts w:ascii="宋体" w:hAnsi="宋体" w:eastAsia="宋体" w:cs="宋体"/>
      <w:lang w:val="zh-CN" w:eastAsia="zh-CN" w:bidi="zh-CN"/>
    </w:rPr>
  </w:style>
  <w:style w:type="paragraph" w:customStyle="1" w:styleId="221">
    <w:name w:val="修订11"/>
    <w:semiHidden/>
    <w:qFormat/>
    <w:uiPriority w:val="99"/>
    <w:rPr>
      <w:rFonts w:ascii="Times New Roman" w:hAnsi="Times New Roman" w:eastAsia="宋体" w:cs="Times New Roman"/>
      <w:kern w:val="2"/>
      <w:sz w:val="21"/>
      <w:szCs w:val="24"/>
      <w:lang w:val="en-US" w:eastAsia="zh-CN" w:bidi="ar-SA"/>
    </w:rPr>
  </w:style>
  <w:style w:type="paragraph" w:customStyle="1" w:styleId="222">
    <w:name w:val="段落1"/>
    <w:qFormat/>
    <w:uiPriority w:val="0"/>
    <w:pPr>
      <w:spacing w:line="360" w:lineRule="auto"/>
      <w:ind w:firstLine="200" w:firstLineChars="200"/>
    </w:pPr>
    <w:rPr>
      <w:rFonts w:ascii="宋体" w:hAnsi="宋体" w:eastAsia="宋体" w:cs="Times New Roman"/>
      <w:sz w:val="24"/>
      <w:lang w:val="en-US" w:eastAsia="zh-CN" w:bidi="ar-SA"/>
    </w:rPr>
  </w:style>
  <w:style w:type="paragraph" w:customStyle="1" w:styleId="223">
    <w:name w:val="普通正文1"/>
    <w:qFormat/>
    <w:uiPriority w:val="0"/>
    <w:pPr>
      <w:spacing w:before="120" w:after="120" w:line="360" w:lineRule="auto"/>
      <w:ind w:firstLine="480"/>
    </w:pPr>
    <w:rPr>
      <w:rFonts w:ascii="Arial" w:hAnsi="Arial" w:eastAsia="仿宋" w:cs="Times New Roman"/>
      <w:sz w:val="24"/>
      <w:lang w:val="en-US" w:eastAsia="zh-CN" w:bidi="ar-SA"/>
    </w:rPr>
  </w:style>
  <w:style w:type="paragraph" w:customStyle="1" w:styleId="224">
    <w:name w:val="正文1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225">
    <w:name w:val="NormalCharacter1"/>
    <w:qFormat/>
    <w:uiPriority w:val="0"/>
    <w:rPr>
      <w:rFonts w:ascii="Calibri" w:hAnsi="Calibri" w:eastAsia="宋体"/>
    </w:rPr>
  </w:style>
  <w:style w:type="paragraph" w:customStyle="1" w:styleId="226">
    <w:name w:val="TOC31"/>
    <w:qFormat/>
    <w:uiPriority w:val="0"/>
    <w:pPr>
      <w:widowControl/>
      <w:spacing w:line="360" w:lineRule="auto"/>
      <w:ind w:left="840" w:leftChars="400" w:firstLine="200" w:firstLineChars="200"/>
      <w:jc w:val="left"/>
    </w:pPr>
    <w:rPr>
      <w:rFonts w:ascii="Calibri" w:hAnsi="Calibri" w:eastAsia="宋体" w:cstheme="minorBidi"/>
      <w:sz w:val="24"/>
      <w:lang w:val="en-US" w:eastAsia="zh-CN" w:bidi="ar-SA"/>
    </w:rPr>
  </w:style>
  <w:style w:type="paragraph" w:customStyle="1" w:styleId="227">
    <w:name w:val="4表中文字1"/>
    <w:qFormat/>
    <w:uiPriority w:val="0"/>
    <w:pPr>
      <w:autoSpaceDE w:val="0"/>
      <w:autoSpaceDN w:val="0"/>
      <w:adjustRightInd w:val="0"/>
      <w:jc w:val="center"/>
    </w:pPr>
    <w:rPr>
      <w:rFonts w:ascii="Times New Roman" w:hAnsi="Times New Roman" w:eastAsia="仿宋_GB2312" w:cs="Times New Roman"/>
      <w:lang w:val="en-US" w:eastAsia="zh-CN" w:bidi="ar-SA"/>
    </w:rPr>
  </w:style>
  <w:style w:type="paragraph" w:customStyle="1" w:styleId="228">
    <w:name w:val="Normal_21"/>
    <w:qFormat/>
    <w:uiPriority w:val="0"/>
    <w:pPr>
      <w:widowControl w:val="0"/>
      <w:jc w:val="both"/>
    </w:pPr>
    <w:rPr>
      <w:rFonts w:ascii="Calibri" w:hAnsi="Calibri" w:eastAsia="宋体" w:cs="Times New Roman"/>
      <w:lang w:val="en-US" w:eastAsia="zh-CN" w:bidi="ar-SA"/>
    </w:rPr>
  </w:style>
  <w:style w:type="character" w:customStyle="1" w:styleId="229">
    <w:name w:val="font1011"/>
    <w:qFormat/>
    <w:uiPriority w:val="0"/>
    <w:rPr>
      <w:rFonts w:hint="default" w:ascii="Tahoma" w:hAnsi="Tahoma" w:eastAsia="Tahoma" w:cs="Tahoma"/>
      <w:color w:val="000000"/>
      <w:sz w:val="18"/>
      <w:szCs w:val="18"/>
      <w:u w:val="none"/>
    </w:rPr>
  </w:style>
  <w:style w:type="character" w:customStyle="1" w:styleId="230">
    <w:name w:val="font1611"/>
    <w:qFormat/>
    <w:uiPriority w:val="0"/>
    <w:rPr>
      <w:rFonts w:hint="eastAsia" w:ascii="宋体" w:hAnsi="宋体" w:eastAsia="宋体" w:cs="宋体"/>
      <w:color w:val="000000"/>
      <w:sz w:val="18"/>
      <w:szCs w:val="18"/>
      <w:u w:val="none"/>
    </w:rPr>
  </w:style>
  <w:style w:type="paragraph" w:customStyle="1" w:styleId="231">
    <w:name w:val="msolistparagraph1"/>
    <w:qFormat/>
    <w:uiPriority w:val="0"/>
    <w:pPr>
      <w:ind w:firstLine="420" w:firstLineChars="200"/>
    </w:pPr>
    <w:rPr>
      <w:rFonts w:hint="eastAsia" w:ascii="等线" w:hAnsi="等线" w:eastAsia="等线" w:cs="Times New Roman"/>
      <w:szCs w:val="22"/>
      <w:lang w:val="en-US" w:eastAsia="zh-CN" w:bidi="ar-SA"/>
    </w:rPr>
  </w:style>
  <w:style w:type="character" w:customStyle="1" w:styleId="232">
    <w:name w:val="font311"/>
    <w:qFormat/>
    <w:uiPriority w:val="0"/>
    <w:rPr>
      <w:rFonts w:hint="eastAsia" w:ascii="宋体" w:hAnsi="宋体" w:eastAsia="宋体" w:cs="宋体"/>
      <w:color w:val="000000"/>
      <w:sz w:val="18"/>
      <w:szCs w:val="18"/>
      <w:u w:val="none"/>
    </w:rPr>
  </w:style>
  <w:style w:type="character" w:customStyle="1" w:styleId="233">
    <w:name w:val="font511"/>
    <w:qFormat/>
    <w:uiPriority w:val="0"/>
    <w:rPr>
      <w:rFonts w:hint="default" w:ascii="Times New Roman" w:hAnsi="Times New Roman" w:cs="Times New Roman"/>
      <w:color w:val="000000"/>
      <w:sz w:val="18"/>
      <w:szCs w:val="18"/>
      <w:u w:val="none"/>
    </w:rPr>
  </w:style>
  <w:style w:type="character" w:customStyle="1" w:styleId="234">
    <w:name w:val="font611"/>
    <w:qFormat/>
    <w:uiPriority w:val="0"/>
    <w:rPr>
      <w:rFonts w:hint="default" w:ascii="Times New Roman" w:hAnsi="Times New Roman" w:cs="Times New Roman"/>
      <w:color w:val="000000"/>
      <w:sz w:val="22"/>
      <w:szCs w:val="22"/>
      <w:u w:val="none"/>
    </w:rPr>
  </w:style>
  <w:style w:type="paragraph" w:customStyle="1" w:styleId="235">
    <w:name w:val="文档结构图11"/>
    <w:qFormat/>
    <w:uiPriority w:val="0"/>
    <w:rPr>
      <w:rFonts w:ascii="Times New Roman" w:hAnsi="Times New Roman" w:eastAsia="宋体" w:cs="Times New Roman"/>
      <w:lang w:val="en-US" w:eastAsia="zh-CN" w:bidi="ar-SA"/>
    </w:rPr>
  </w:style>
  <w:style w:type="paragraph" w:customStyle="1" w:styleId="236">
    <w:name w:val="正文（标准）1"/>
    <w:semiHidden/>
    <w:qFormat/>
    <w:uiPriority w:val="0"/>
    <w:pPr>
      <w:ind w:firstLine="525"/>
    </w:pPr>
    <w:rPr>
      <w:rFonts w:ascii="宋体" w:hAnsi="宋体" w:eastAsia="宋体" w:cs="Times New Roman"/>
      <w:lang w:val="en-US" w:eastAsia="zh-CN" w:bidi="ar-SA"/>
    </w:rPr>
  </w:style>
  <w:style w:type="paragraph" w:customStyle="1" w:styleId="237">
    <w:name w:val="Normal_01"/>
    <w:qFormat/>
    <w:uiPriority w:val="0"/>
    <w:pPr>
      <w:widowControl w:val="0"/>
      <w:spacing w:after="200" w:line="276" w:lineRule="auto"/>
      <w:jc w:val="both"/>
    </w:pPr>
    <w:rPr>
      <w:rFonts w:ascii="Calibri" w:hAnsi="Calibri" w:eastAsia="宋体" w:cs="Times New Roman"/>
      <w:lang w:val="en-US" w:eastAsia="zh-CN" w:bidi="ar-SA"/>
    </w:rPr>
  </w:style>
  <w:style w:type="character" w:customStyle="1" w:styleId="238">
    <w:name w:val="font411"/>
    <w:qFormat/>
    <w:uiPriority w:val="0"/>
    <w:rPr>
      <w:rFonts w:hint="eastAsia" w:ascii="宋体" w:hAnsi="宋体" w:eastAsia="宋体" w:cs="宋体"/>
      <w:color w:val="000000"/>
      <w:sz w:val="24"/>
      <w:szCs w:val="24"/>
      <w:u w:val="none"/>
    </w:rPr>
  </w:style>
  <w:style w:type="character" w:customStyle="1" w:styleId="239">
    <w:name w:val="font711"/>
    <w:qFormat/>
    <w:uiPriority w:val="0"/>
    <w:rPr>
      <w:rFonts w:ascii="微软雅黑" w:hAnsi="微软雅黑" w:eastAsia="微软雅黑" w:cs="微软雅黑"/>
      <w:color w:val="000000"/>
      <w:sz w:val="24"/>
      <w:szCs w:val="24"/>
      <w:u w:val="none"/>
    </w:rPr>
  </w:style>
  <w:style w:type="character" w:customStyle="1" w:styleId="240">
    <w:name w:val="font211"/>
    <w:qFormat/>
    <w:uiPriority w:val="0"/>
    <w:rPr>
      <w:rFonts w:hint="eastAsia" w:ascii="宋体" w:hAnsi="宋体" w:eastAsia="宋体" w:cs="宋体"/>
      <w:b/>
      <w:bCs/>
      <w:color w:val="000000"/>
      <w:sz w:val="24"/>
      <w:szCs w:val="24"/>
      <w:u w:val="none"/>
    </w:rPr>
  </w:style>
  <w:style w:type="character" w:customStyle="1" w:styleId="241">
    <w:name w:val="font911"/>
    <w:qFormat/>
    <w:uiPriority w:val="0"/>
    <w:rPr>
      <w:rFonts w:hint="eastAsia" w:ascii="宋体" w:hAnsi="宋体" w:eastAsia="宋体" w:cs="宋体"/>
      <w:b/>
      <w:bCs/>
      <w:color w:val="FF0000"/>
      <w:sz w:val="24"/>
      <w:szCs w:val="24"/>
      <w:u w:val="none"/>
    </w:rPr>
  </w:style>
  <w:style w:type="character" w:customStyle="1" w:styleId="242">
    <w:name w:val="font811"/>
    <w:qFormat/>
    <w:uiPriority w:val="0"/>
    <w:rPr>
      <w:rFonts w:hint="eastAsia" w:ascii="仿宋" w:hAnsi="仿宋" w:eastAsia="仿宋" w:cs="仿宋"/>
      <w:b/>
      <w:bCs/>
      <w:color w:val="000000"/>
      <w:sz w:val="20"/>
      <w:szCs w:val="20"/>
      <w:u w:val="none"/>
    </w:rPr>
  </w:style>
  <w:style w:type="paragraph" w:customStyle="1" w:styleId="243">
    <w:name w:val="一级条标题1"/>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244">
    <w:name w:val="章标题1"/>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40</Pages>
  <Words>1088</Words>
  <Characters>1207</Characters>
  <Lines>155</Lines>
  <Paragraphs>43</Paragraphs>
  <TotalTime>3</TotalTime>
  <ScaleCrop>false</ScaleCrop>
  <LinksUpToDate>false</LinksUpToDate>
  <CharactersWithSpaces>1250</CharactersWithSpaces>
  <Application>WPS Office_7.5.1.8994_F1E327BC-269C-435d-A152-05C5408002CA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2024-03-29T02:45:00Z</dcterms:created>
  <dc:creator>User</dc:creator>
  <cp:lastModifiedBy>吴文钰</cp:lastModifiedBy>
  <cp:lastPrinted>2025-01-01T05:40:00Z</cp:lastPrinted>
  <dcterms:modified xsi:type="dcterms:W3CDTF">2026-05-17T08:05:02Z</dcterms:modified>
  <dc:title>云南省省级政府集中采购</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2052-7.5.1.8994</vt:lpwstr>
  </property>
  <property fmtid="{D5CDD505-2E9C-101B-9397-08002B2CF9AE}" pid="3" name="ICV">
    <vt:lpwstr>262DD64881EE0391C87A086A94ED5A21_43</vt:lpwstr>
  </property>
  <property fmtid="{D5CDD505-2E9C-101B-9397-08002B2CF9AE}" pid="4" name="KSOTemplateDocerSaveRecord">
    <vt:lpwstr>eyJoZGlkIjoiMTM0NmVhYTkwZDUzYjk2NmYwZDU5NWNjMTk4YTg0YzAiLCJ1c2VySWQiOiIxNjg0MTg2MjI3In0=</vt:lpwstr>
  </property>
</Properties>
</file>